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DB" w:rsidRPr="00DB3BDB" w:rsidRDefault="00DB3BDB" w:rsidP="00DB3BDB">
      <w:pPr>
        <w:spacing w:after="0"/>
        <w:ind w:left="-567"/>
        <w:rPr>
          <w:rFonts w:asciiTheme="majorHAnsi" w:hAnsiTheme="majorHAnsi"/>
          <w:b/>
          <w:sz w:val="24"/>
          <w:szCs w:val="24"/>
        </w:rPr>
      </w:pPr>
      <w:r w:rsidRPr="00DB3BDB">
        <w:rPr>
          <w:rFonts w:asciiTheme="majorHAnsi" w:hAnsiTheme="majorHAnsi"/>
          <w:b/>
          <w:sz w:val="24"/>
          <w:szCs w:val="24"/>
        </w:rPr>
        <w:t>HOTELIJERSKO- TURISTIČKA I UGOSTITELJSKA ŠKOLA ZADAR</w:t>
      </w:r>
    </w:p>
    <w:p w:rsidR="00DB3BDB" w:rsidRPr="00DB3BDB" w:rsidRDefault="00DB3BDB" w:rsidP="00DB3BDB">
      <w:pPr>
        <w:spacing w:after="0"/>
        <w:ind w:left="-567"/>
        <w:rPr>
          <w:rFonts w:asciiTheme="majorHAnsi" w:hAnsiTheme="majorHAnsi"/>
          <w:b/>
          <w:sz w:val="24"/>
          <w:szCs w:val="24"/>
        </w:rPr>
      </w:pPr>
      <w:r w:rsidRPr="00DB3BDB">
        <w:rPr>
          <w:rFonts w:asciiTheme="majorHAnsi" w:hAnsiTheme="majorHAnsi"/>
          <w:b/>
          <w:sz w:val="24"/>
          <w:szCs w:val="24"/>
        </w:rPr>
        <w:t>Antuna Gustava Matoša 40, 23000 Zadar</w:t>
      </w:r>
    </w:p>
    <w:p w:rsidR="00DB3BDB" w:rsidRPr="00DB3BDB" w:rsidRDefault="00DB3BDB" w:rsidP="00DB3BDB">
      <w:pPr>
        <w:spacing w:after="0"/>
        <w:ind w:left="-567"/>
        <w:rPr>
          <w:rFonts w:asciiTheme="majorHAnsi" w:hAnsiTheme="majorHAnsi"/>
          <w:sz w:val="24"/>
          <w:szCs w:val="24"/>
        </w:rPr>
      </w:pPr>
      <w:r w:rsidRPr="00DB3BDB">
        <w:rPr>
          <w:rFonts w:asciiTheme="majorHAnsi" w:hAnsiTheme="majorHAnsi"/>
          <w:sz w:val="24"/>
          <w:szCs w:val="24"/>
        </w:rPr>
        <w:t>OIB: 91757782000</w:t>
      </w:r>
    </w:p>
    <w:p w:rsidR="00DB3BDB" w:rsidRDefault="00DB3BDB" w:rsidP="00DB3BDB">
      <w:pPr>
        <w:spacing w:after="0"/>
        <w:ind w:left="-567"/>
        <w:rPr>
          <w:rFonts w:asciiTheme="majorHAnsi" w:hAnsiTheme="majorHAnsi"/>
          <w:sz w:val="24"/>
          <w:szCs w:val="24"/>
        </w:rPr>
      </w:pPr>
      <w:r w:rsidRPr="00DB3BDB">
        <w:rPr>
          <w:rFonts w:asciiTheme="majorHAnsi" w:hAnsiTheme="majorHAnsi"/>
          <w:sz w:val="24"/>
          <w:szCs w:val="24"/>
        </w:rPr>
        <w:t xml:space="preserve">Tel: 023 335- 295    Email: </w:t>
      </w:r>
      <w:hyperlink r:id="rId5" w:history="1">
        <w:r w:rsidRPr="00DB3BDB">
          <w:rPr>
            <w:rStyle w:val="Hiperveza"/>
            <w:rFonts w:asciiTheme="majorHAnsi" w:hAnsiTheme="majorHAnsi"/>
            <w:sz w:val="24"/>
            <w:szCs w:val="24"/>
          </w:rPr>
          <w:t>htus@htus.htnet.hr</w:t>
        </w:r>
      </w:hyperlink>
    </w:p>
    <w:p w:rsidR="00DB3BDB" w:rsidRDefault="00DB3BDB" w:rsidP="00DB3BDB">
      <w:pPr>
        <w:spacing w:after="0"/>
        <w:ind w:left="-567"/>
        <w:rPr>
          <w:rFonts w:asciiTheme="majorHAnsi" w:hAnsiTheme="majorHAnsi"/>
          <w:sz w:val="24"/>
          <w:szCs w:val="24"/>
        </w:rPr>
      </w:pPr>
    </w:p>
    <w:p w:rsidR="00DB3BDB" w:rsidRDefault="00DB3BDB" w:rsidP="00DB3BDB">
      <w:pPr>
        <w:spacing w:after="0"/>
        <w:ind w:left="-567"/>
        <w:rPr>
          <w:rFonts w:asciiTheme="majorHAnsi" w:hAnsiTheme="majorHAnsi"/>
          <w:sz w:val="24"/>
          <w:szCs w:val="24"/>
        </w:rPr>
      </w:pPr>
    </w:p>
    <w:p w:rsidR="00DB3BDB" w:rsidRDefault="00DB3BDB" w:rsidP="00DB3BDB">
      <w:pPr>
        <w:spacing w:after="0"/>
        <w:ind w:left="-567"/>
        <w:jc w:val="center"/>
        <w:rPr>
          <w:rFonts w:asciiTheme="majorHAnsi" w:hAnsiTheme="majorHAnsi"/>
          <w:b/>
          <w:sz w:val="24"/>
          <w:szCs w:val="24"/>
        </w:rPr>
      </w:pPr>
      <w:r>
        <w:rPr>
          <w:rFonts w:asciiTheme="majorHAnsi" w:hAnsiTheme="majorHAnsi"/>
          <w:b/>
          <w:sz w:val="24"/>
          <w:szCs w:val="24"/>
        </w:rPr>
        <w:t>BILJEŠKE UZ GODIŠNJE FINANCIJSKO IZVJEŠĆE</w:t>
      </w:r>
    </w:p>
    <w:p w:rsidR="00DB3BDB" w:rsidRDefault="00DB3BDB" w:rsidP="00DB3BDB">
      <w:pPr>
        <w:spacing w:after="0"/>
        <w:ind w:left="-567"/>
        <w:jc w:val="center"/>
        <w:rPr>
          <w:rFonts w:asciiTheme="majorHAnsi" w:hAnsiTheme="majorHAnsi"/>
          <w:b/>
          <w:sz w:val="24"/>
          <w:szCs w:val="24"/>
        </w:rPr>
      </w:pPr>
    </w:p>
    <w:p w:rsidR="00DB3BDB" w:rsidRDefault="00DB3BDB" w:rsidP="00DB3BDB">
      <w:pPr>
        <w:spacing w:after="0"/>
        <w:ind w:left="-567"/>
        <w:jc w:val="center"/>
        <w:rPr>
          <w:rFonts w:asciiTheme="majorHAnsi" w:hAnsiTheme="majorHAnsi"/>
          <w:b/>
          <w:sz w:val="24"/>
          <w:szCs w:val="24"/>
        </w:rPr>
      </w:pPr>
      <w:r>
        <w:rPr>
          <w:rFonts w:asciiTheme="majorHAnsi" w:hAnsiTheme="majorHAnsi"/>
          <w:b/>
          <w:sz w:val="24"/>
          <w:szCs w:val="24"/>
        </w:rPr>
        <w:t>Razdoblje 01.01.2021. – 31.12.2021.</w:t>
      </w:r>
    </w:p>
    <w:p w:rsidR="00DB3BDB" w:rsidRDefault="00DB3BDB" w:rsidP="00DB3BDB">
      <w:pPr>
        <w:spacing w:after="0"/>
        <w:ind w:left="-567"/>
        <w:jc w:val="center"/>
        <w:rPr>
          <w:rFonts w:asciiTheme="majorHAnsi" w:hAnsiTheme="majorHAnsi"/>
          <w:b/>
          <w:sz w:val="24"/>
          <w:szCs w:val="24"/>
        </w:rPr>
      </w:pPr>
    </w:p>
    <w:p w:rsidR="00DB3BDB" w:rsidRDefault="00DB3BDB" w:rsidP="00DB3BDB">
      <w:pPr>
        <w:spacing w:after="0"/>
        <w:ind w:left="-567"/>
        <w:jc w:val="both"/>
        <w:rPr>
          <w:rFonts w:asciiTheme="majorHAnsi" w:hAnsiTheme="majorHAnsi"/>
          <w:b/>
          <w:sz w:val="24"/>
          <w:szCs w:val="24"/>
        </w:rPr>
      </w:pPr>
      <w:r>
        <w:rPr>
          <w:rFonts w:asciiTheme="majorHAnsi" w:hAnsiTheme="majorHAnsi"/>
          <w:b/>
          <w:sz w:val="24"/>
          <w:szCs w:val="24"/>
        </w:rPr>
        <w:t>BILJEŠKE UZ OBRAZAC PR-RAS</w:t>
      </w:r>
    </w:p>
    <w:p w:rsidR="00DB3BDB" w:rsidRDefault="00DB3BDB" w:rsidP="00DB3BDB">
      <w:pPr>
        <w:spacing w:after="0"/>
        <w:ind w:left="-567"/>
        <w:jc w:val="both"/>
        <w:rPr>
          <w:rFonts w:asciiTheme="majorHAnsi" w:hAnsiTheme="majorHAnsi"/>
          <w:b/>
          <w:sz w:val="24"/>
          <w:szCs w:val="24"/>
        </w:rPr>
      </w:pPr>
    </w:p>
    <w:p w:rsidR="00DB3BDB" w:rsidRDefault="00DB3BDB" w:rsidP="00DB3BDB">
      <w:pPr>
        <w:pStyle w:val="Odlomakpopisa"/>
        <w:numPr>
          <w:ilvl w:val="0"/>
          <w:numId w:val="1"/>
        </w:numPr>
        <w:spacing w:after="0"/>
        <w:jc w:val="both"/>
        <w:rPr>
          <w:rFonts w:asciiTheme="majorHAnsi" w:hAnsiTheme="majorHAnsi"/>
          <w:b/>
          <w:sz w:val="24"/>
          <w:szCs w:val="24"/>
        </w:rPr>
      </w:pPr>
      <w:r>
        <w:rPr>
          <w:rFonts w:asciiTheme="majorHAnsi" w:hAnsiTheme="majorHAnsi"/>
          <w:b/>
          <w:sz w:val="24"/>
          <w:szCs w:val="24"/>
        </w:rPr>
        <w:t>PRIHODI POSLOVANJA</w:t>
      </w:r>
    </w:p>
    <w:p w:rsidR="00DB3BDB" w:rsidRDefault="00DB3BDB" w:rsidP="00DB3BDB">
      <w:pPr>
        <w:pStyle w:val="Odlomakpopisa"/>
        <w:spacing w:after="0"/>
        <w:ind w:left="-207"/>
        <w:jc w:val="both"/>
        <w:rPr>
          <w:rFonts w:asciiTheme="majorHAnsi" w:hAnsiTheme="majorHAnsi"/>
          <w:b/>
          <w:sz w:val="24"/>
          <w:szCs w:val="24"/>
        </w:rPr>
      </w:pPr>
      <w:r>
        <w:rPr>
          <w:rFonts w:asciiTheme="majorHAnsi" w:hAnsiTheme="majorHAnsi"/>
          <w:b/>
          <w:sz w:val="24"/>
          <w:szCs w:val="24"/>
        </w:rPr>
        <w:t>AOP 001 – iznos: 11.179.913</w:t>
      </w:r>
    </w:p>
    <w:p w:rsidR="00DB3BDB" w:rsidRDefault="00DB3BDB" w:rsidP="00DB3BDB">
      <w:pPr>
        <w:pStyle w:val="Odlomakpopisa"/>
        <w:spacing w:after="0"/>
        <w:ind w:left="-207"/>
        <w:jc w:val="both"/>
        <w:rPr>
          <w:rFonts w:asciiTheme="majorHAnsi" w:hAnsiTheme="majorHAnsi"/>
          <w:sz w:val="24"/>
          <w:szCs w:val="24"/>
        </w:rPr>
      </w:pPr>
      <w:r>
        <w:rPr>
          <w:rFonts w:asciiTheme="majorHAnsi" w:hAnsiTheme="majorHAnsi"/>
          <w:sz w:val="24"/>
          <w:szCs w:val="24"/>
        </w:rPr>
        <w:t>Prihodi poslovanja razdoblja 01.01. – 31.12.2021. godine sastoje se:</w:t>
      </w:r>
    </w:p>
    <w:p w:rsidR="00DB3BDB" w:rsidRDefault="00DB3BDB" w:rsidP="00DB3BDB">
      <w:pPr>
        <w:pStyle w:val="Odlomakpopisa"/>
        <w:spacing w:after="0"/>
        <w:ind w:left="-207"/>
        <w:jc w:val="both"/>
        <w:rPr>
          <w:rFonts w:asciiTheme="majorHAnsi" w:hAnsiTheme="majorHAnsi"/>
          <w:sz w:val="24"/>
          <w:szCs w:val="24"/>
        </w:rPr>
      </w:pPr>
    </w:p>
    <w:p w:rsidR="00DB3BDB" w:rsidRDefault="00DB3BDB" w:rsidP="00DB3BDB">
      <w:pPr>
        <w:pStyle w:val="Odlomakpopisa"/>
        <w:spacing w:after="0"/>
        <w:ind w:left="-207"/>
        <w:jc w:val="both"/>
        <w:rPr>
          <w:rFonts w:asciiTheme="majorHAnsi" w:hAnsiTheme="majorHAnsi"/>
          <w:b/>
          <w:sz w:val="24"/>
          <w:szCs w:val="24"/>
        </w:rPr>
      </w:pPr>
      <w:r>
        <w:rPr>
          <w:rFonts w:asciiTheme="majorHAnsi" w:hAnsiTheme="majorHAnsi"/>
          <w:b/>
          <w:sz w:val="24"/>
          <w:szCs w:val="24"/>
        </w:rPr>
        <w:t>AOP 045 – Pomoći iz inozemstva i od subjekata unutar općeg proračuna : 9.908.653</w:t>
      </w:r>
    </w:p>
    <w:p w:rsidR="00DB3BDB" w:rsidRDefault="00DB3BDB" w:rsidP="00DB3BDB">
      <w:pPr>
        <w:pStyle w:val="Odlomakpopisa"/>
        <w:spacing w:after="0"/>
        <w:ind w:left="-207"/>
        <w:jc w:val="both"/>
        <w:rPr>
          <w:rFonts w:asciiTheme="majorHAnsi" w:hAnsiTheme="majorHAnsi"/>
          <w:b/>
          <w:sz w:val="24"/>
          <w:szCs w:val="24"/>
        </w:rPr>
      </w:pPr>
    </w:p>
    <w:p w:rsidR="00DB3BDB" w:rsidRPr="00DB3BDB" w:rsidRDefault="00DB3BDB" w:rsidP="00DB3BDB">
      <w:pPr>
        <w:pStyle w:val="Odlomakpopisa"/>
        <w:spacing w:after="0"/>
        <w:ind w:left="-207"/>
        <w:jc w:val="both"/>
        <w:rPr>
          <w:rFonts w:asciiTheme="majorHAnsi" w:hAnsiTheme="majorHAnsi"/>
          <w:sz w:val="24"/>
          <w:szCs w:val="24"/>
          <w:u w:val="single"/>
        </w:rPr>
      </w:pPr>
      <w:r w:rsidRPr="00DB3BDB">
        <w:rPr>
          <w:rFonts w:asciiTheme="majorHAnsi" w:hAnsiTheme="majorHAnsi"/>
          <w:sz w:val="24"/>
          <w:szCs w:val="24"/>
          <w:u w:val="single"/>
        </w:rPr>
        <w:t>AOP 064 –Pomoći proračunskim korisnicima iz proračuna koji im nije nadležan – 9.856.679,34kn</w:t>
      </w:r>
    </w:p>
    <w:p w:rsidR="00DB3BDB" w:rsidRDefault="00DB3BDB" w:rsidP="00DB3BDB">
      <w:pPr>
        <w:pStyle w:val="Odlomakpopisa"/>
        <w:spacing w:after="0"/>
        <w:ind w:left="-207"/>
        <w:jc w:val="both"/>
        <w:rPr>
          <w:rFonts w:asciiTheme="majorHAnsi" w:hAnsiTheme="majorHAnsi"/>
          <w:sz w:val="24"/>
          <w:szCs w:val="24"/>
        </w:rPr>
      </w:pPr>
      <w:r>
        <w:rPr>
          <w:rFonts w:asciiTheme="majorHAnsi" w:hAnsiTheme="majorHAnsi"/>
          <w:sz w:val="24"/>
          <w:szCs w:val="24"/>
        </w:rPr>
        <w:t>Ovaj iznos odnosi se na sredstva Državnog proračuna za isplatu bruto plaće i materijalnih prava, te naknade za osobe s invaliditetom za zaposlenike Hotelijersko- turističke i ugostiteljske škole Zadar u iznosu od 9.808.418,54kn, zatim na naknadu za prijevoz učenika s posebnim potrebama u iznosu od 50.972,30kn, naknadu za mentorstvo za pripravnike u iznosu od 1.296,00kn, te sredstva za voditelje županijskih stručnih vijeća u iznosu od 2.600,00kn, udžbenike za učenike, te refundacija za testiranje zaposlenika na covid-19 za studeni 2021.</w:t>
      </w:r>
    </w:p>
    <w:p w:rsidR="00DB3BDB" w:rsidRDefault="00DB3BDB" w:rsidP="00DB3BDB">
      <w:pPr>
        <w:pStyle w:val="Odlomakpopisa"/>
        <w:spacing w:after="0"/>
        <w:ind w:left="-207"/>
        <w:jc w:val="both"/>
        <w:rPr>
          <w:rFonts w:asciiTheme="majorHAnsi" w:hAnsiTheme="majorHAnsi"/>
          <w:sz w:val="24"/>
          <w:szCs w:val="24"/>
        </w:rPr>
      </w:pPr>
    </w:p>
    <w:p w:rsidR="00DB3BDB" w:rsidRDefault="00DB3BDB" w:rsidP="00DB3BDB">
      <w:pPr>
        <w:pStyle w:val="Odlomakpopisa"/>
        <w:spacing w:after="0"/>
        <w:ind w:left="-207" w:right="-567"/>
        <w:jc w:val="both"/>
        <w:rPr>
          <w:rFonts w:asciiTheme="majorHAnsi" w:hAnsiTheme="majorHAnsi"/>
          <w:sz w:val="24"/>
          <w:szCs w:val="24"/>
          <w:u w:val="single"/>
        </w:rPr>
      </w:pPr>
      <w:r w:rsidRPr="00DB3BDB">
        <w:rPr>
          <w:rFonts w:asciiTheme="majorHAnsi" w:hAnsiTheme="majorHAnsi"/>
          <w:sz w:val="24"/>
          <w:szCs w:val="24"/>
          <w:u w:val="single"/>
        </w:rPr>
        <w:t>AOP 065-Kapitalne pomoći proračunskim korisnicima iz proračuna koji im nije nadležan–6.000,00kn</w:t>
      </w:r>
    </w:p>
    <w:p w:rsidR="00DB3BDB" w:rsidRDefault="00DB3BDB" w:rsidP="00DB3BDB">
      <w:pPr>
        <w:pStyle w:val="Odlomakpopisa"/>
        <w:spacing w:after="0"/>
        <w:ind w:left="-207" w:right="-567"/>
        <w:jc w:val="both"/>
        <w:rPr>
          <w:rFonts w:asciiTheme="majorHAnsi" w:hAnsiTheme="majorHAnsi"/>
          <w:sz w:val="24"/>
          <w:szCs w:val="24"/>
        </w:rPr>
      </w:pPr>
      <w:r>
        <w:rPr>
          <w:rFonts w:asciiTheme="majorHAnsi" w:hAnsiTheme="majorHAnsi"/>
          <w:sz w:val="24"/>
          <w:szCs w:val="24"/>
        </w:rPr>
        <w:t>Sredstva se odnose na uplatu Ministarstva znanosti i obrazovanja za opremanje školske knjižnice knjigama za lektiru.</w:t>
      </w:r>
    </w:p>
    <w:p w:rsidR="00DB3BDB" w:rsidRDefault="00DB3BDB" w:rsidP="00DB3BDB">
      <w:pPr>
        <w:pStyle w:val="Odlomakpopisa"/>
        <w:spacing w:after="0"/>
        <w:ind w:left="-207" w:right="-567"/>
        <w:jc w:val="both"/>
        <w:rPr>
          <w:rFonts w:asciiTheme="majorHAnsi" w:hAnsiTheme="majorHAnsi"/>
          <w:sz w:val="24"/>
          <w:szCs w:val="24"/>
        </w:rPr>
      </w:pPr>
    </w:p>
    <w:p w:rsidR="00DB3BDB" w:rsidRDefault="00DB3BDB" w:rsidP="00DB3BDB">
      <w:pPr>
        <w:pStyle w:val="Odlomakpopisa"/>
        <w:spacing w:after="0"/>
        <w:ind w:left="-207" w:right="-567"/>
        <w:jc w:val="both"/>
        <w:rPr>
          <w:rFonts w:asciiTheme="majorHAnsi" w:hAnsiTheme="majorHAnsi"/>
          <w:sz w:val="24"/>
          <w:szCs w:val="24"/>
          <w:u w:val="single"/>
        </w:rPr>
      </w:pPr>
      <w:r>
        <w:rPr>
          <w:rFonts w:asciiTheme="majorHAnsi" w:hAnsiTheme="majorHAnsi"/>
          <w:sz w:val="24"/>
          <w:szCs w:val="24"/>
          <w:u w:val="single"/>
        </w:rPr>
        <w:t>AOP</w:t>
      </w:r>
      <w:r w:rsidR="00242448">
        <w:rPr>
          <w:rFonts w:asciiTheme="majorHAnsi" w:hAnsiTheme="majorHAnsi"/>
          <w:sz w:val="24"/>
          <w:szCs w:val="24"/>
          <w:u w:val="single"/>
        </w:rPr>
        <w:t xml:space="preserve"> 112 – Prihodi od administrativnih, upravnih pristojbi i pristojbi po posebnim propisima- 7.485,20kn</w:t>
      </w:r>
    </w:p>
    <w:p w:rsidR="00242448" w:rsidRDefault="00242448" w:rsidP="00DB3BDB">
      <w:pPr>
        <w:pStyle w:val="Odlomakpopisa"/>
        <w:spacing w:after="0"/>
        <w:ind w:left="-207" w:right="-567"/>
        <w:jc w:val="both"/>
        <w:rPr>
          <w:rFonts w:asciiTheme="majorHAnsi" w:hAnsiTheme="majorHAnsi"/>
          <w:sz w:val="24"/>
          <w:szCs w:val="24"/>
          <w:u w:val="single"/>
        </w:rPr>
      </w:pPr>
      <w:r>
        <w:rPr>
          <w:rFonts w:asciiTheme="majorHAnsi" w:hAnsiTheme="majorHAnsi"/>
          <w:sz w:val="24"/>
          <w:szCs w:val="24"/>
          <w:u w:val="single"/>
        </w:rPr>
        <w:t>AOP 119 – Prihodi od pruženih usluga – 19.590,00kn</w:t>
      </w:r>
    </w:p>
    <w:p w:rsidR="00242448" w:rsidRDefault="00242448" w:rsidP="00DB3BDB">
      <w:pPr>
        <w:pStyle w:val="Odlomakpopisa"/>
        <w:spacing w:after="0"/>
        <w:ind w:left="-207" w:right="-567"/>
        <w:jc w:val="both"/>
        <w:rPr>
          <w:rFonts w:asciiTheme="majorHAnsi" w:hAnsiTheme="majorHAnsi"/>
          <w:sz w:val="24"/>
          <w:szCs w:val="24"/>
          <w:u w:val="single"/>
        </w:rPr>
      </w:pPr>
    </w:p>
    <w:p w:rsidR="00242448" w:rsidRDefault="00242448" w:rsidP="00DB3BDB">
      <w:pPr>
        <w:pStyle w:val="Odlomakpopisa"/>
        <w:spacing w:after="0"/>
        <w:ind w:left="-207" w:right="-567"/>
        <w:jc w:val="both"/>
        <w:rPr>
          <w:rFonts w:asciiTheme="majorHAnsi" w:hAnsiTheme="majorHAnsi"/>
          <w:sz w:val="24"/>
          <w:szCs w:val="24"/>
          <w:u w:val="single"/>
        </w:rPr>
      </w:pPr>
      <w:r>
        <w:rPr>
          <w:rFonts w:asciiTheme="majorHAnsi" w:hAnsiTheme="majorHAnsi"/>
          <w:sz w:val="24"/>
          <w:szCs w:val="24"/>
          <w:u w:val="single"/>
        </w:rPr>
        <w:t>AOP 130 – Prihodi iz nadležnog proračuna za financiranje redovne djelatnosti proračunskih korisnika – 1.208.944,91kn</w:t>
      </w:r>
    </w:p>
    <w:p w:rsidR="00242448" w:rsidRDefault="00242448" w:rsidP="00DB3BDB">
      <w:pPr>
        <w:pStyle w:val="Odlomakpopisa"/>
        <w:spacing w:after="0"/>
        <w:ind w:left="-207" w:right="-567"/>
        <w:jc w:val="both"/>
        <w:rPr>
          <w:rFonts w:asciiTheme="majorHAnsi" w:hAnsiTheme="majorHAnsi"/>
          <w:sz w:val="24"/>
          <w:szCs w:val="24"/>
        </w:rPr>
      </w:pPr>
      <w:r>
        <w:rPr>
          <w:rFonts w:asciiTheme="majorHAnsi" w:hAnsiTheme="majorHAnsi"/>
          <w:sz w:val="24"/>
          <w:szCs w:val="24"/>
        </w:rPr>
        <w:t>Iznos se odnosi na prihod iz nadležnog proračuna za financiranje tekućih rashoda poslovanja</w:t>
      </w:r>
    </w:p>
    <w:p w:rsidR="00242448" w:rsidRDefault="00242448" w:rsidP="00DB3BDB">
      <w:pPr>
        <w:pStyle w:val="Odlomakpopisa"/>
        <w:spacing w:after="0"/>
        <w:ind w:left="-207" w:right="-567"/>
        <w:jc w:val="both"/>
        <w:rPr>
          <w:rFonts w:asciiTheme="majorHAnsi" w:hAnsiTheme="majorHAnsi"/>
          <w:sz w:val="24"/>
          <w:szCs w:val="24"/>
        </w:rPr>
      </w:pPr>
    </w:p>
    <w:p w:rsidR="00242448" w:rsidRDefault="00242448" w:rsidP="00DB3BDB">
      <w:pPr>
        <w:pStyle w:val="Odlomakpopisa"/>
        <w:spacing w:after="0"/>
        <w:ind w:left="-207" w:right="-567"/>
        <w:jc w:val="both"/>
        <w:rPr>
          <w:rFonts w:asciiTheme="majorHAnsi" w:hAnsiTheme="majorHAnsi"/>
          <w:sz w:val="24"/>
          <w:szCs w:val="24"/>
          <w:u w:val="single"/>
        </w:rPr>
      </w:pPr>
      <w:r w:rsidRPr="00242448">
        <w:rPr>
          <w:rFonts w:asciiTheme="majorHAnsi" w:hAnsiTheme="majorHAnsi"/>
          <w:sz w:val="24"/>
          <w:szCs w:val="24"/>
          <w:u w:val="single"/>
        </w:rPr>
        <w:t>AOP 131 – Prihodi iz nadležnog proračuna za financiranje rashoda za nabavu nefinancijske imovine – 16.540,00kn</w:t>
      </w:r>
    </w:p>
    <w:p w:rsidR="00242448" w:rsidRDefault="00242448" w:rsidP="00DB3BDB">
      <w:pPr>
        <w:pStyle w:val="Odlomakpopisa"/>
        <w:spacing w:after="0"/>
        <w:ind w:left="-207" w:right="-567"/>
        <w:jc w:val="both"/>
        <w:rPr>
          <w:rFonts w:asciiTheme="majorHAnsi" w:hAnsiTheme="majorHAnsi"/>
          <w:sz w:val="24"/>
          <w:szCs w:val="24"/>
        </w:rPr>
      </w:pPr>
      <w:r>
        <w:rPr>
          <w:rFonts w:asciiTheme="majorHAnsi" w:hAnsiTheme="majorHAnsi"/>
          <w:sz w:val="24"/>
          <w:szCs w:val="24"/>
        </w:rPr>
        <w:t>Iznos se odnosi na sredstva namijenjena za nabavu udžbenika za deficitarna zanimanja, te laptop za slabovidnu učenicu.</w:t>
      </w:r>
    </w:p>
    <w:p w:rsidR="00242448" w:rsidRDefault="00242448">
      <w:pPr>
        <w:rPr>
          <w:rFonts w:asciiTheme="majorHAnsi" w:hAnsiTheme="majorHAnsi"/>
          <w:sz w:val="24"/>
          <w:szCs w:val="24"/>
        </w:rPr>
      </w:pPr>
      <w:r>
        <w:rPr>
          <w:rFonts w:asciiTheme="majorHAnsi" w:hAnsiTheme="majorHAnsi"/>
          <w:sz w:val="24"/>
          <w:szCs w:val="24"/>
        </w:rPr>
        <w:br w:type="page"/>
      </w:r>
    </w:p>
    <w:p w:rsidR="00242448" w:rsidRDefault="00242448" w:rsidP="00242448">
      <w:pPr>
        <w:pStyle w:val="Odlomakpopisa"/>
        <w:numPr>
          <w:ilvl w:val="0"/>
          <w:numId w:val="1"/>
        </w:numPr>
        <w:spacing w:after="0"/>
        <w:ind w:right="-567"/>
        <w:jc w:val="both"/>
        <w:rPr>
          <w:rFonts w:asciiTheme="majorHAnsi" w:hAnsiTheme="majorHAnsi"/>
          <w:b/>
          <w:sz w:val="24"/>
          <w:szCs w:val="24"/>
        </w:rPr>
      </w:pPr>
      <w:r>
        <w:rPr>
          <w:rFonts w:asciiTheme="majorHAnsi" w:hAnsiTheme="majorHAnsi"/>
          <w:b/>
          <w:sz w:val="24"/>
          <w:szCs w:val="24"/>
        </w:rPr>
        <w:lastRenderedPageBreak/>
        <w:t>RASHODI POSLOVANJA</w:t>
      </w:r>
    </w:p>
    <w:p w:rsidR="00242448" w:rsidRDefault="00242448" w:rsidP="00242448">
      <w:pPr>
        <w:spacing w:after="0"/>
        <w:ind w:left="-567" w:right="-567"/>
        <w:jc w:val="both"/>
        <w:rPr>
          <w:rFonts w:asciiTheme="majorHAnsi" w:hAnsiTheme="majorHAnsi"/>
          <w:b/>
          <w:sz w:val="24"/>
          <w:szCs w:val="24"/>
        </w:rPr>
      </w:pPr>
      <w:r>
        <w:rPr>
          <w:rFonts w:asciiTheme="majorHAnsi" w:hAnsiTheme="majorHAnsi"/>
          <w:b/>
          <w:sz w:val="24"/>
          <w:szCs w:val="24"/>
        </w:rPr>
        <w:t>AOP 146 – 11.297.787</w:t>
      </w:r>
    </w:p>
    <w:p w:rsidR="00242448" w:rsidRDefault="00242448" w:rsidP="00242448">
      <w:pPr>
        <w:spacing w:after="0"/>
        <w:ind w:left="-567" w:right="-567"/>
        <w:jc w:val="both"/>
        <w:rPr>
          <w:rFonts w:asciiTheme="majorHAnsi" w:hAnsiTheme="majorHAnsi"/>
          <w:b/>
          <w:sz w:val="24"/>
          <w:szCs w:val="24"/>
        </w:rPr>
      </w:pPr>
    </w:p>
    <w:p w:rsidR="00242448" w:rsidRDefault="00242448" w:rsidP="00242448">
      <w:pPr>
        <w:spacing w:after="0"/>
        <w:ind w:left="-567" w:right="-567"/>
        <w:jc w:val="both"/>
        <w:rPr>
          <w:rFonts w:asciiTheme="majorHAnsi" w:hAnsiTheme="majorHAnsi"/>
          <w:sz w:val="24"/>
          <w:szCs w:val="24"/>
          <w:u w:val="single"/>
        </w:rPr>
      </w:pPr>
      <w:r w:rsidRPr="00242448">
        <w:rPr>
          <w:rFonts w:asciiTheme="majorHAnsi" w:hAnsiTheme="majorHAnsi"/>
          <w:sz w:val="24"/>
          <w:szCs w:val="24"/>
          <w:u w:val="single"/>
        </w:rPr>
        <w:t>AOP 147 – Rashodi za zaposlene – 10.044.814,22kn</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Rashodi za zaposlene uključuju rashode za plaće i materijalna prava za zaposlenike Hotelijersko- turističke i ugostiteljske škole Zadar, uključujući i pomoćnike u nastavi, pripravništvo, te e-tehničara. Rashodi su se blago povećali u odnosu na prošlu godinu zbog povećanja osnovice i povećanja koeficijenta.</w:t>
      </w:r>
    </w:p>
    <w:p w:rsidR="00242448" w:rsidRDefault="00242448" w:rsidP="00242448">
      <w:pPr>
        <w:spacing w:after="0"/>
        <w:ind w:left="-567" w:right="-567"/>
        <w:jc w:val="both"/>
        <w:rPr>
          <w:rFonts w:asciiTheme="majorHAnsi" w:hAnsiTheme="majorHAnsi"/>
          <w:sz w:val="24"/>
          <w:szCs w:val="24"/>
        </w:rPr>
      </w:pPr>
    </w:p>
    <w:p w:rsidR="00242448" w:rsidRDefault="00242448" w:rsidP="00242448">
      <w:pPr>
        <w:spacing w:after="0"/>
        <w:ind w:left="-567" w:right="-567"/>
        <w:jc w:val="both"/>
        <w:rPr>
          <w:rFonts w:asciiTheme="majorHAnsi" w:hAnsiTheme="majorHAnsi"/>
          <w:sz w:val="24"/>
          <w:szCs w:val="24"/>
          <w:u w:val="single"/>
        </w:rPr>
      </w:pPr>
      <w:r w:rsidRPr="00242448">
        <w:rPr>
          <w:rFonts w:asciiTheme="majorHAnsi" w:hAnsiTheme="majorHAnsi"/>
          <w:sz w:val="24"/>
          <w:szCs w:val="24"/>
          <w:u w:val="single"/>
        </w:rPr>
        <w:t>AOP 158 – Materijalni rashodi – 1.251.502,04kn</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AOP 160 – Službena putovanja – 70.404,02kn (indeks povećanja 163,4)</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AOP 161 – Naknade za prijevoz, rad na terenu – 229.511,60 kn (indeks povećanja 125,5)</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AOP 165 – Uredski materijal – 102.840,19kn (indeks povećanja 144,3)</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AOP 166 – Materijal i sirovine – 184.766,59kn (indeks povećanja 148,8)</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AOP 167 – Energija – 163.126,75kn (indeks povećanja 174)</w:t>
      </w:r>
    </w:p>
    <w:p w:rsidR="00896D3A" w:rsidRDefault="00242448" w:rsidP="008A125A">
      <w:pPr>
        <w:spacing w:after="0"/>
        <w:ind w:left="-567" w:right="-567"/>
        <w:jc w:val="both"/>
        <w:rPr>
          <w:rFonts w:asciiTheme="majorHAnsi" w:hAnsiTheme="majorHAnsi"/>
          <w:sz w:val="24"/>
          <w:szCs w:val="24"/>
        </w:rPr>
      </w:pPr>
      <w:r>
        <w:rPr>
          <w:rFonts w:asciiTheme="majorHAnsi" w:hAnsiTheme="majorHAnsi"/>
          <w:sz w:val="24"/>
          <w:szCs w:val="24"/>
        </w:rPr>
        <w:t>AOP 174 – Usluge tekućeg i investicijskog održavanja – 77.944,35kn ( indeks povećanja 314)</w:t>
      </w:r>
    </w:p>
    <w:p w:rsidR="00242448" w:rsidRDefault="00242448" w:rsidP="00242448">
      <w:pPr>
        <w:spacing w:after="0"/>
        <w:ind w:left="-567" w:right="-567"/>
        <w:jc w:val="both"/>
        <w:rPr>
          <w:rFonts w:asciiTheme="majorHAnsi" w:hAnsiTheme="majorHAnsi"/>
          <w:sz w:val="24"/>
          <w:szCs w:val="24"/>
        </w:rPr>
      </w:pPr>
      <w:r>
        <w:rPr>
          <w:rFonts w:asciiTheme="majorHAnsi" w:hAnsiTheme="majorHAnsi"/>
          <w:sz w:val="24"/>
          <w:szCs w:val="24"/>
        </w:rPr>
        <w:t>Materijalni rashodi odnose se na rashode vezane uz redovan rad Škole. Najveću promjenu bilježe rashodi za službena putovanja koji su se povećali naspram prošle godine zbog popuštanja mjera vezanih uz covid-19, te su se određene manifestacije, seminari i natjecanja ipa</w:t>
      </w:r>
      <w:r w:rsidR="00896D3A">
        <w:rPr>
          <w:rFonts w:asciiTheme="majorHAnsi" w:hAnsiTheme="majorHAnsi"/>
          <w:sz w:val="24"/>
          <w:szCs w:val="24"/>
        </w:rPr>
        <w:t>k uspješno održali uz poštivanje propisanih mjera zaštite. Također se povećao i rashod za prijevoz zaposlenika s posla i na posao u usporedbi s prošlom godinom, također zbog popuštanja mjera, te redovnog održavanja nastave u školskim prostorima za razliku od prošle godine kada se dio nastave odvijao online. S obzirom na smanjenje rada od kuće i redovno održavanje nastave, time su se povećali i rashodi za uredski i nastavni materijal, te energiju i ostale komunalne usluge. Obavile su se i manje sanacije po školskim prostorima, te obnavljanje parketa u učionicama, stoga su i rashodi za usluge tekućeg i investicijskog održavanja povećani.</w:t>
      </w:r>
    </w:p>
    <w:p w:rsidR="00896D3A" w:rsidRDefault="00896D3A" w:rsidP="00242448">
      <w:pPr>
        <w:spacing w:after="0"/>
        <w:ind w:left="-567" w:right="-567"/>
        <w:jc w:val="both"/>
        <w:rPr>
          <w:rFonts w:asciiTheme="majorHAnsi" w:hAnsiTheme="majorHAnsi"/>
          <w:sz w:val="24"/>
          <w:szCs w:val="24"/>
        </w:rPr>
      </w:pPr>
    </w:p>
    <w:p w:rsidR="00896D3A" w:rsidRPr="00896D3A" w:rsidRDefault="00896D3A" w:rsidP="00242448">
      <w:pPr>
        <w:spacing w:after="0"/>
        <w:ind w:left="-567" w:right="-567"/>
        <w:jc w:val="both"/>
        <w:rPr>
          <w:rFonts w:asciiTheme="majorHAnsi" w:hAnsiTheme="majorHAnsi"/>
          <w:sz w:val="24"/>
          <w:szCs w:val="24"/>
          <w:u w:val="single"/>
        </w:rPr>
      </w:pPr>
      <w:r w:rsidRPr="00896D3A">
        <w:rPr>
          <w:rFonts w:asciiTheme="majorHAnsi" w:hAnsiTheme="majorHAnsi"/>
          <w:sz w:val="24"/>
          <w:szCs w:val="24"/>
          <w:u w:val="single"/>
        </w:rPr>
        <w:t>AOP 344 – Rashodi za nabavu nefinancijske imovine – 142.077,94 kn</w:t>
      </w:r>
    </w:p>
    <w:p w:rsidR="00896D3A" w:rsidRDefault="00896D3A" w:rsidP="00242448">
      <w:pPr>
        <w:spacing w:after="0"/>
        <w:ind w:left="-567" w:right="-567"/>
        <w:jc w:val="both"/>
        <w:rPr>
          <w:rFonts w:asciiTheme="majorHAnsi" w:hAnsiTheme="majorHAnsi"/>
          <w:sz w:val="24"/>
          <w:szCs w:val="24"/>
        </w:rPr>
      </w:pPr>
      <w:r>
        <w:rPr>
          <w:rFonts w:asciiTheme="majorHAnsi" w:hAnsiTheme="majorHAnsi"/>
          <w:sz w:val="24"/>
          <w:szCs w:val="24"/>
        </w:rPr>
        <w:t>AOP 364 – Uredska oprema i namještaj – 84.050,08kn</w:t>
      </w:r>
    </w:p>
    <w:p w:rsidR="00896D3A" w:rsidRDefault="00896D3A" w:rsidP="00242448">
      <w:pPr>
        <w:spacing w:after="0"/>
        <w:ind w:left="-567" w:right="-567"/>
        <w:jc w:val="both"/>
        <w:rPr>
          <w:rFonts w:asciiTheme="majorHAnsi" w:hAnsiTheme="majorHAnsi"/>
          <w:sz w:val="24"/>
          <w:szCs w:val="24"/>
        </w:rPr>
      </w:pPr>
      <w:r>
        <w:rPr>
          <w:rFonts w:asciiTheme="majorHAnsi" w:hAnsiTheme="majorHAnsi"/>
          <w:sz w:val="24"/>
          <w:szCs w:val="24"/>
        </w:rPr>
        <w:t>AOP 370 – Ure</w:t>
      </w:r>
      <w:r w:rsidR="008F074D">
        <w:rPr>
          <w:rFonts w:asciiTheme="majorHAnsi" w:hAnsiTheme="majorHAnsi"/>
          <w:sz w:val="24"/>
          <w:szCs w:val="24"/>
        </w:rPr>
        <w:t>đaji, strojevi i oprema za ost</w:t>
      </w:r>
      <w:r>
        <w:rPr>
          <w:rFonts w:asciiTheme="majorHAnsi" w:hAnsiTheme="majorHAnsi"/>
          <w:sz w:val="24"/>
          <w:szCs w:val="24"/>
        </w:rPr>
        <w:t>. namjene – 41.621,45kn</w:t>
      </w:r>
    </w:p>
    <w:p w:rsidR="00896D3A" w:rsidRDefault="00896D3A" w:rsidP="00242448">
      <w:pPr>
        <w:spacing w:after="0"/>
        <w:ind w:left="-567" w:right="-567"/>
        <w:jc w:val="both"/>
        <w:rPr>
          <w:rFonts w:asciiTheme="majorHAnsi" w:hAnsiTheme="majorHAnsi"/>
          <w:sz w:val="24"/>
          <w:szCs w:val="24"/>
        </w:rPr>
      </w:pPr>
      <w:r>
        <w:rPr>
          <w:rFonts w:asciiTheme="majorHAnsi" w:hAnsiTheme="majorHAnsi"/>
          <w:sz w:val="24"/>
          <w:szCs w:val="24"/>
        </w:rPr>
        <w:t>AOP 378 – Knjige – 16.406,41kn</w:t>
      </w:r>
    </w:p>
    <w:p w:rsidR="00896D3A" w:rsidRDefault="00896D3A" w:rsidP="00242448">
      <w:pPr>
        <w:spacing w:after="0"/>
        <w:ind w:left="-567" w:right="-567"/>
        <w:jc w:val="both"/>
        <w:rPr>
          <w:rFonts w:asciiTheme="majorHAnsi" w:hAnsiTheme="majorHAnsi"/>
          <w:sz w:val="24"/>
          <w:szCs w:val="24"/>
        </w:rPr>
      </w:pPr>
    </w:p>
    <w:p w:rsidR="00896D3A" w:rsidRDefault="00896D3A" w:rsidP="00896D3A">
      <w:pPr>
        <w:pStyle w:val="Odlomakpopisa"/>
        <w:numPr>
          <w:ilvl w:val="0"/>
          <w:numId w:val="1"/>
        </w:numPr>
        <w:spacing w:after="0"/>
        <w:ind w:right="-567"/>
        <w:jc w:val="both"/>
        <w:rPr>
          <w:rFonts w:asciiTheme="majorHAnsi" w:hAnsiTheme="majorHAnsi"/>
          <w:b/>
          <w:sz w:val="24"/>
          <w:szCs w:val="24"/>
        </w:rPr>
      </w:pPr>
      <w:r>
        <w:rPr>
          <w:rFonts w:asciiTheme="majorHAnsi" w:hAnsiTheme="majorHAnsi"/>
          <w:b/>
          <w:sz w:val="24"/>
          <w:szCs w:val="24"/>
        </w:rPr>
        <w:t>BILJEŠKE UZ OBRAZAC RAS- FUNKCIJSKI</w:t>
      </w:r>
    </w:p>
    <w:p w:rsidR="00896D3A" w:rsidRDefault="00896D3A" w:rsidP="00896D3A">
      <w:pPr>
        <w:pStyle w:val="Odlomakpopisa"/>
        <w:spacing w:after="0"/>
        <w:ind w:left="-207" w:right="-567"/>
        <w:jc w:val="both"/>
        <w:rPr>
          <w:rFonts w:asciiTheme="majorHAnsi" w:hAnsiTheme="majorHAnsi"/>
          <w:sz w:val="24"/>
          <w:szCs w:val="24"/>
        </w:rPr>
      </w:pPr>
      <w:r>
        <w:rPr>
          <w:rFonts w:asciiTheme="majorHAnsi" w:hAnsiTheme="majorHAnsi"/>
          <w:sz w:val="24"/>
          <w:szCs w:val="24"/>
        </w:rPr>
        <w:t>AOP 110 – Više srednjoškolsko obrazovanje iznosi 11.439.864 (indeks povećanja 109,1)</w:t>
      </w:r>
    </w:p>
    <w:p w:rsidR="00896D3A" w:rsidRDefault="00896D3A" w:rsidP="00896D3A">
      <w:pPr>
        <w:pStyle w:val="Odlomakpopisa"/>
        <w:spacing w:after="0"/>
        <w:ind w:left="-207" w:right="-567"/>
        <w:jc w:val="both"/>
        <w:rPr>
          <w:rFonts w:asciiTheme="majorHAnsi" w:hAnsiTheme="majorHAnsi"/>
          <w:sz w:val="24"/>
          <w:szCs w:val="24"/>
        </w:rPr>
      </w:pPr>
    </w:p>
    <w:p w:rsidR="00896D3A" w:rsidRDefault="00896D3A" w:rsidP="00896D3A">
      <w:pPr>
        <w:pStyle w:val="Odlomakpopisa"/>
        <w:numPr>
          <w:ilvl w:val="0"/>
          <w:numId w:val="1"/>
        </w:numPr>
        <w:spacing w:after="0"/>
        <w:ind w:right="-567"/>
        <w:jc w:val="both"/>
        <w:rPr>
          <w:rFonts w:asciiTheme="majorHAnsi" w:hAnsiTheme="majorHAnsi"/>
          <w:b/>
          <w:sz w:val="24"/>
          <w:szCs w:val="24"/>
        </w:rPr>
      </w:pPr>
      <w:r>
        <w:rPr>
          <w:rFonts w:asciiTheme="majorHAnsi" w:hAnsiTheme="majorHAnsi"/>
          <w:b/>
          <w:sz w:val="24"/>
          <w:szCs w:val="24"/>
        </w:rPr>
        <w:t>BILJEŠKE UZ OBRAZAC OBVEZE</w:t>
      </w:r>
    </w:p>
    <w:p w:rsidR="00896D3A" w:rsidRPr="00896D3A" w:rsidRDefault="00896D3A" w:rsidP="00896D3A">
      <w:pPr>
        <w:pStyle w:val="Odlomakpopisa"/>
        <w:spacing w:after="0"/>
        <w:ind w:left="-207" w:right="-567"/>
        <w:jc w:val="both"/>
        <w:rPr>
          <w:rFonts w:asciiTheme="majorHAnsi" w:hAnsiTheme="majorHAnsi"/>
          <w:sz w:val="24"/>
          <w:szCs w:val="24"/>
          <w:u w:val="single"/>
        </w:rPr>
      </w:pPr>
      <w:r w:rsidRPr="00896D3A">
        <w:rPr>
          <w:rFonts w:asciiTheme="majorHAnsi" w:hAnsiTheme="majorHAnsi"/>
          <w:sz w:val="24"/>
          <w:szCs w:val="24"/>
          <w:u w:val="single"/>
        </w:rPr>
        <w:t>AOP 038 – Stanje obveza na kraju izvještajnog razdoblja – 857.479,34kn</w:t>
      </w:r>
    </w:p>
    <w:p w:rsidR="00896D3A" w:rsidRDefault="00896D3A" w:rsidP="00896D3A">
      <w:pPr>
        <w:pStyle w:val="Odlomakpopisa"/>
        <w:spacing w:after="0"/>
        <w:ind w:left="-207" w:right="-567"/>
        <w:jc w:val="both"/>
        <w:rPr>
          <w:rFonts w:asciiTheme="majorHAnsi" w:hAnsiTheme="majorHAnsi"/>
          <w:sz w:val="24"/>
          <w:szCs w:val="24"/>
        </w:rPr>
      </w:pPr>
      <w:r>
        <w:rPr>
          <w:rFonts w:asciiTheme="majorHAnsi" w:hAnsiTheme="majorHAnsi"/>
          <w:sz w:val="24"/>
          <w:szCs w:val="24"/>
        </w:rPr>
        <w:t>Obveze se odnose na bruto plaće i doprinose zaposlenika Škole za 1272021, čija je isplata u siječnju 2022. u i</w:t>
      </w:r>
      <w:r w:rsidR="006A6390">
        <w:rPr>
          <w:rFonts w:asciiTheme="majorHAnsi" w:hAnsiTheme="majorHAnsi"/>
          <w:sz w:val="24"/>
          <w:szCs w:val="24"/>
        </w:rPr>
        <w:t>z</w:t>
      </w:r>
      <w:bookmarkStart w:id="0" w:name="_GoBack"/>
      <w:bookmarkEnd w:id="0"/>
      <w:r>
        <w:rPr>
          <w:rFonts w:asciiTheme="majorHAnsi" w:hAnsiTheme="majorHAnsi"/>
          <w:sz w:val="24"/>
          <w:szCs w:val="24"/>
        </w:rPr>
        <w:t>nosu od 826.751,68kn.</w:t>
      </w:r>
    </w:p>
    <w:p w:rsidR="00896D3A" w:rsidRDefault="00896D3A" w:rsidP="00896D3A">
      <w:pPr>
        <w:pStyle w:val="Odlomakpopisa"/>
        <w:spacing w:after="0"/>
        <w:ind w:left="-207" w:right="-567"/>
        <w:jc w:val="both"/>
        <w:rPr>
          <w:rFonts w:asciiTheme="majorHAnsi" w:hAnsiTheme="majorHAnsi"/>
          <w:sz w:val="24"/>
          <w:szCs w:val="24"/>
        </w:rPr>
      </w:pPr>
      <w:r>
        <w:rPr>
          <w:rFonts w:asciiTheme="majorHAnsi" w:hAnsiTheme="majorHAnsi"/>
          <w:sz w:val="24"/>
          <w:szCs w:val="24"/>
        </w:rPr>
        <w:t>Zatim obveze za isplatu plaće i prijevoza s posla i na posao pomoćnicima u nastavi također za 12.mjesec u iznosu od 10.657,39kn.</w:t>
      </w:r>
    </w:p>
    <w:p w:rsidR="00896D3A" w:rsidRDefault="00896D3A" w:rsidP="00896D3A">
      <w:pPr>
        <w:pStyle w:val="Odlomakpopisa"/>
        <w:spacing w:after="0"/>
        <w:ind w:left="-207" w:right="-567"/>
        <w:jc w:val="both"/>
        <w:rPr>
          <w:rFonts w:asciiTheme="majorHAnsi" w:hAnsiTheme="majorHAnsi"/>
          <w:sz w:val="24"/>
          <w:szCs w:val="24"/>
        </w:rPr>
      </w:pPr>
      <w:r>
        <w:rPr>
          <w:rFonts w:asciiTheme="majorHAnsi" w:hAnsiTheme="majorHAnsi"/>
          <w:sz w:val="24"/>
          <w:szCs w:val="24"/>
        </w:rPr>
        <w:t>Također tu su i obveze za neplaćene račune prema dobavljačima u iznosu od 13.272,20kn, a čija je  očekivana isplata u siječnju 2022., te naknada za bolovanja preko 42 dana u iznosu od 6.798,07kn.</w:t>
      </w:r>
    </w:p>
    <w:p w:rsidR="008A125A" w:rsidRDefault="008A125A" w:rsidP="00896D3A">
      <w:pPr>
        <w:pStyle w:val="Odlomakpopisa"/>
        <w:spacing w:after="0"/>
        <w:ind w:left="-207" w:right="-567"/>
        <w:jc w:val="both"/>
        <w:rPr>
          <w:rFonts w:asciiTheme="majorHAnsi" w:hAnsiTheme="majorHAnsi"/>
          <w:sz w:val="24"/>
          <w:szCs w:val="24"/>
        </w:rPr>
      </w:pPr>
    </w:p>
    <w:p w:rsidR="008A125A" w:rsidRDefault="008A125A" w:rsidP="008A125A">
      <w:pPr>
        <w:pStyle w:val="Odlomakpopisa"/>
        <w:spacing w:after="0"/>
        <w:ind w:left="-207" w:right="-567"/>
        <w:jc w:val="right"/>
        <w:rPr>
          <w:rFonts w:asciiTheme="majorHAnsi" w:hAnsiTheme="majorHAnsi"/>
          <w:sz w:val="24"/>
          <w:szCs w:val="24"/>
        </w:rPr>
      </w:pPr>
      <w:r>
        <w:rPr>
          <w:rFonts w:asciiTheme="majorHAnsi" w:hAnsiTheme="majorHAnsi"/>
          <w:sz w:val="24"/>
          <w:szCs w:val="24"/>
        </w:rPr>
        <w:t>Ravnateljica</w:t>
      </w:r>
    </w:p>
    <w:p w:rsidR="008A125A" w:rsidRPr="00896D3A" w:rsidRDefault="008A125A" w:rsidP="008A125A">
      <w:pPr>
        <w:pStyle w:val="Odlomakpopisa"/>
        <w:spacing w:after="0"/>
        <w:ind w:left="-207" w:right="-567"/>
        <w:jc w:val="right"/>
        <w:rPr>
          <w:rFonts w:asciiTheme="majorHAnsi" w:hAnsiTheme="majorHAnsi"/>
          <w:sz w:val="24"/>
          <w:szCs w:val="24"/>
        </w:rPr>
      </w:pPr>
      <w:r>
        <w:rPr>
          <w:rFonts w:asciiTheme="majorHAnsi" w:hAnsiTheme="majorHAnsi"/>
          <w:sz w:val="24"/>
          <w:szCs w:val="24"/>
        </w:rPr>
        <w:t>Diana Radić Škara, prof.</w:t>
      </w:r>
    </w:p>
    <w:p w:rsidR="00242448" w:rsidRPr="00242448" w:rsidRDefault="00242448" w:rsidP="00242448">
      <w:pPr>
        <w:spacing w:after="0"/>
        <w:ind w:left="-567" w:right="-567"/>
        <w:jc w:val="both"/>
        <w:rPr>
          <w:rFonts w:asciiTheme="majorHAnsi" w:hAnsiTheme="majorHAnsi"/>
          <w:sz w:val="24"/>
          <w:szCs w:val="24"/>
        </w:rPr>
      </w:pPr>
    </w:p>
    <w:p w:rsidR="00DB3BDB" w:rsidRDefault="00DB3BDB" w:rsidP="00DB3BDB">
      <w:pPr>
        <w:spacing w:after="0"/>
        <w:ind w:left="-567"/>
        <w:rPr>
          <w:sz w:val="24"/>
          <w:szCs w:val="24"/>
        </w:rPr>
      </w:pPr>
    </w:p>
    <w:p w:rsidR="00DB3BDB" w:rsidRPr="00DB3BDB" w:rsidRDefault="00DB3BDB" w:rsidP="00DB3BDB">
      <w:pPr>
        <w:spacing w:after="0"/>
        <w:ind w:left="-567"/>
        <w:rPr>
          <w:sz w:val="24"/>
          <w:szCs w:val="24"/>
        </w:rPr>
      </w:pPr>
    </w:p>
    <w:sectPr w:rsidR="00DB3BDB" w:rsidRPr="00DB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478F9"/>
    <w:multiLevelType w:val="hybridMultilevel"/>
    <w:tmpl w:val="AA7019FE"/>
    <w:lvl w:ilvl="0" w:tplc="771C0C8C">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DB"/>
    <w:rsid w:val="001537CF"/>
    <w:rsid w:val="00242448"/>
    <w:rsid w:val="006A6390"/>
    <w:rsid w:val="00896D3A"/>
    <w:rsid w:val="008A125A"/>
    <w:rsid w:val="008F074D"/>
    <w:rsid w:val="00DB3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CE76B-211B-4C4F-A7F8-8D413FD7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B3BDB"/>
    <w:rPr>
      <w:color w:val="0563C1" w:themeColor="hyperlink"/>
      <w:u w:val="single"/>
    </w:rPr>
  </w:style>
  <w:style w:type="paragraph" w:styleId="Odlomakpopisa">
    <w:name w:val="List Paragraph"/>
    <w:basedOn w:val="Normal"/>
    <w:uiPriority w:val="34"/>
    <w:qFormat/>
    <w:rsid w:val="00DB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us@htus.htnet.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700</Words>
  <Characters>3990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2022-02-19T09:15:00Z</dcterms:created>
  <dcterms:modified xsi:type="dcterms:W3CDTF">2022-02-22T11:36:00Z</dcterms:modified>
</cp:coreProperties>
</file>