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C6" w:rsidRDefault="00B3180F">
      <w:pPr>
        <w:spacing w:after="0"/>
        <w:ind w:left="-709"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Hotelijersko- turistička i ugostiteljska škola Zadar</w:t>
      </w:r>
    </w:p>
    <w:p w:rsidR="008A3FC6" w:rsidRDefault="00B3180F">
      <w:pPr>
        <w:spacing w:after="0"/>
        <w:ind w:left="-709"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Antuna Gustava Matoša 40, 23000 Zadar</w:t>
      </w:r>
    </w:p>
    <w:p w:rsidR="008A3FC6" w:rsidRDefault="00B3180F">
      <w:pPr>
        <w:spacing w:after="0"/>
        <w:ind w:left="-709"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OIB: 91757782000 //  RKP: 19773</w:t>
      </w:r>
    </w:p>
    <w:p w:rsidR="008A3FC6" w:rsidRDefault="00B3180F">
      <w:pPr>
        <w:spacing w:after="0"/>
        <w:ind w:left="-709"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Tel: 023/ 335-295</w:t>
      </w:r>
    </w:p>
    <w:p w:rsidR="008A3FC6" w:rsidRDefault="00B3180F">
      <w:pPr>
        <w:spacing w:after="0"/>
        <w:ind w:left="-709"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6">
        <w:r>
          <w:rPr>
            <w:rFonts w:ascii="Times New Roman" w:eastAsia="Times New Roman" w:hAnsi="Times New Roman" w:cs="Times New Roman"/>
            <w:color w:val="0563C1"/>
            <w:sz w:val="24"/>
            <w:szCs w:val="24"/>
            <w:u w:val="single"/>
          </w:rPr>
          <w:t>htus.zadar@skole.hr</w:t>
        </w:r>
      </w:hyperlink>
    </w:p>
    <w:p w:rsidR="008A3FC6" w:rsidRDefault="00497525">
      <w:pPr>
        <w:spacing w:after="0"/>
        <w:ind w:left="-709"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KLASA:</w:t>
      </w:r>
      <w:r>
        <w:rPr>
          <w:rFonts w:ascii="Times New Roman" w:eastAsia="Times New Roman" w:hAnsi="Times New Roman" w:cs="Times New Roman"/>
          <w:sz w:val="24"/>
          <w:szCs w:val="24"/>
        </w:rPr>
        <w:tab/>
        <w:t>400-02/23-01/1</w:t>
      </w:r>
    </w:p>
    <w:p w:rsidR="00497525" w:rsidRDefault="00497525">
      <w:pPr>
        <w:spacing w:after="0"/>
        <w:ind w:left="-709"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URBROJ:</w:t>
      </w:r>
      <w:r>
        <w:rPr>
          <w:rFonts w:ascii="Times New Roman" w:eastAsia="Times New Roman" w:hAnsi="Times New Roman" w:cs="Times New Roman"/>
          <w:sz w:val="24"/>
          <w:szCs w:val="24"/>
        </w:rPr>
        <w:tab/>
        <w:t>2198-1-61-23-1</w:t>
      </w:r>
    </w:p>
    <w:p w:rsidR="00497525" w:rsidRDefault="00497525">
      <w:pPr>
        <w:spacing w:after="0"/>
        <w:ind w:left="-709"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A3FC6" w:rsidRDefault="006A592F">
      <w:pPr>
        <w:spacing w:after="0"/>
        <w:ind w:left="-709"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Zadar, 19</w:t>
      </w:r>
      <w:r w:rsidR="00B318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svibnja 2023</w:t>
      </w:r>
      <w:r w:rsidR="00B318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180F">
        <w:rPr>
          <w:rFonts w:ascii="Times New Roman" w:eastAsia="Times New Roman" w:hAnsi="Times New Roman" w:cs="Times New Roman"/>
          <w:sz w:val="24"/>
          <w:szCs w:val="24"/>
        </w:rPr>
        <w:t>godine</w:t>
      </w:r>
    </w:p>
    <w:p w:rsidR="008A3FC6" w:rsidRDefault="008A3FC6">
      <w:pPr>
        <w:spacing w:after="0"/>
        <w:ind w:left="-709" w:right="-567"/>
        <w:rPr>
          <w:rFonts w:ascii="Times New Roman" w:eastAsia="Times New Roman" w:hAnsi="Times New Roman" w:cs="Times New Roman"/>
          <w:sz w:val="24"/>
          <w:szCs w:val="24"/>
        </w:rPr>
      </w:pPr>
    </w:p>
    <w:p w:rsidR="008A3FC6" w:rsidRDefault="008A3FC6">
      <w:pPr>
        <w:spacing w:after="0"/>
        <w:ind w:left="-709" w:right="-567"/>
        <w:jc w:val="right"/>
        <w:rPr>
          <w:rFonts w:ascii="Times New Roman" w:eastAsia="Times New Roman" w:hAnsi="Times New Roman" w:cs="Times New Roman"/>
          <w:sz w:val="24"/>
          <w:szCs w:val="24"/>
        </w:rPr>
      </w:pPr>
    </w:p>
    <w:p w:rsidR="008A3FC6" w:rsidRDefault="008A3FC6">
      <w:pPr>
        <w:spacing w:after="0"/>
        <w:ind w:left="-709" w:right="-567"/>
        <w:jc w:val="center"/>
        <w:rPr>
          <w:rFonts w:ascii="Times New Roman" w:eastAsia="Times New Roman" w:hAnsi="Times New Roman" w:cs="Times New Roman"/>
          <w:b/>
          <w:sz w:val="24"/>
          <w:szCs w:val="24"/>
        </w:rPr>
      </w:pPr>
    </w:p>
    <w:p w:rsidR="008A3FC6" w:rsidRDefault="008A3FC6">
      <w:pPr>
        <w:spacing w:after="0"/>
        <w:ind w:left="-709" w:right="-567"/>
        <w:jc w:val="center"/>
        <w:rPr>
          <w:rFonts w:ascii="Times New Roman" w:eastAsia="Times New Roman" w:hAnsi="Times New Roman" w:cs="Times New Roman"/>
          <w:b/>
          <w:sz w:val="24"/>
          <w:szCs w:val="24"/>
        </w:rPr>
      </w:pPr>
    </w:p>
    <w:p w:rsidR="008A3FC6" w:rsidRDefault="008A3FC6">
      <w:pPr>
        <w:spacing w:after="0"/>
        <w:ind w:left="-709" w:right="-567"/>
        <w:jc w:val="center"/>
        <w:rPr>
          <w:rFonts w:ascii="Times New Roman" w:eastAsia="Times New Roman" w:hAnsi="Times New Roman" w:cs="Times New Roman"/>
          <w:b/>
          <w:sz w:val="24"/>
          <w:szCs w:val="24"/>
        </w:rPr>
      </w:pPr>
    </w:p>
    <w:p w:rsidR="008A3FC6" w:rsidRDefault="00B3180F">
      <w:pPr>
        <w:spacing w:after="0"/>
        <w:ind w:left="-709" w:righ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PREDMET:</w:t>
      </w:r>
    </w:p>
    <w:p w:rsidR="008A3FC6" w:rsidRDefault="00B3180F">
      <w:pPr>
        <w:spacing w:after="0"/>
        <w:ind w:left="-709" w:righ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Obrazloženje prijedloga izmjena i dopuna financijskog plana </w:t>
      </w:r>
    </w:p>
    <w:p w:rsidR="008A3FC6" w:rsidRDefault="00B3180F">
      <w:pPr>
        <w:spacing w:after="0"/>
        <w:ind w:left="-709" w:righ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za 2023. – Rebalans 1</w:t>
      </w:r>
    </w:p>
    <w:p w:rsidR="008A3FC6" w:rsidRDefault="008A3FC6">
      <w:pPr>
        <w:spacing w:after="0"/>
        <w:ind w:left="-709" w:right="-567"/>
        <w:jc w:val="center"/>
        <w:rPr>
          <w:rFonts w:ascii="Times New Roman" w:eastAsia="Times New Roman" w:hAnsi="Times New Roman" w:cs="Times New Roman"/>
          <w:b/>
          <w:sz w:val="24"/>
          <w:szCs w:val="24"/>
        </w:rPr>
      </w:pPr>
    </w:p>
    <w:p w:rsidR="008A3FC6" w:rsidRDefault="008A3FC6">
      <w:pPr>
        <w:spacing w:after="0"/>
        <w:ind w:left="-709" w:right="-567"/>
        <w:jc w:val="center"/>
        <w:rPr>
          <w:rFonts w:ascii="Times New Roman" w:eastAsia="Times New Roman" w:hAnsi="Times New Roman" w:cs="Times New Roman"/>
          <w:b/>
          <w:sz w:val="24"/>
          <w:szCs w:val="24"/>
        </w:rPr>
      </w:pPr>
    </w:p>
    <w:p w:rsidR="008A3FC6" w:rsidRDefault="00B3180F">
      <w:pPr>
        <w:numPr>
          <w:ilvl w:val="0"/>
          <w:numId w:val="1"/>
        </w:numPr>
        <w:pBdr>
          <w:top w:val="nil"/>
          <w:left w:val="nil"/>
          <w:bottom w:val="nil"/>
          <w:right w:val="nil"/>
          <w:between w:val="nil"/>
        </w:pBdr>
        <w:spacing w:before="240" w:after="0"/>
        <w:ind w:right="-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OSNOVNI PODACI O ŠKOLI: </w:t>
      </w:r>
    </w:p>
    <w:p w:rsidR="008A3FC6" w:rsidRDefault="008A3FC6">
      <w:pPr>
        <w:pBdr>
          <w:top w:val="nil"/>
          <w:left w:val="nil"/>
          <w:bottom w:val="nil"/>
          <w:right w:val="nil"/>
          <w:between w:val="nil"/>
        </w:pBdr>
        <w:spacing w:after="0"/>
        <w:ind w:left="-426" w:right="-567"/>
        <w:rPr>
          <w:rFonts w:ascii="Times New Roman" w:eastAsia="Times New Roman" w:hAnsi="Times New Roman" w:cs="Times New Roman"/>
          <w:b/>
          <w:color w:val="000000"/>
          <w:sz w:val="24"/>
          <w:szCs w:val="24"/>
        </w:rPr>
      </w:pPr>
    </w:p>
    <w:p w:rsidR="008A3FC6" w:rsidRDefault="00B3180F">
      <w:pPr>
        <w:spacing w:after="0"/>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Hotelijersko- turistička i ugostiteljska škola Zadar je javna ustanova srednjeg odgoja i obrazovanja. Osnivač je Zadarska županija (Rješenje Ministarstva prosvjete i športa, Klasa: 602-03/92-01-769, </w:t>
      </w:r>
      <w:proofErr w:type="spellStart"/>
      <w:r>
        <w:rPr>
          <w:rFonts w:ascii="Times New Roman" w:eastAsia="Times New Roman" w:hAnsi="Times New Roman" w:cs="Times New Roman"/>
          <w:b/>
          <w:sz w:val="24"/>
          <w:szCs w:val="24"/>
        </w:rPr>
        <w:t>Urbroj</w:t>
      </w:r>
      <w:proofErr w:type="spellEnd"/>
      <w:r>
        <w:rPr>
          <w:rFonts w:ascii="Times New Roman" w:eastAsia="Times New Roman" w:hAnsi="Times New Roman" w:cs="Times New Roman"/>
          <w:b/>
          <w:sz w:val="24"/>
          <w:szCs w:val="24"/>
        </w:rPr>
        <w:t>: 532-02-6/3-93-01, od 08. veljača 1993. godine).</w:t>
      </w:r>
    </w:p>
    <w:p w:rsidR="008A3FC6" w:rsidRDefault="00B3180F">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Škola djeluje u zgradi izgrađenoj 1972.</w:t>
      </w:r>
      <w:r w:rsidR="00606F02">
        <w:rPr>
          <w:rFonts w:ascii="Times New Roman" w:eastAsia="Times New Roman" w:hAnsi="Times New Roman" w:cs="Times New Roman"/>
          <w:sz w:val="24"/>
          <w:szCs w:val="24"/>
        </w:rPr>
        <w:t xml:space="preserve"> godine, smještenoj izvan grada</w:t>
      </w:r>
      <w:r>
        <w:rPr>
          <w:rFonts w:ascii="Times New Roman" w:eastAsia="Times New Roman" w:hAnsi="Times New Roman" w:cs="Times New Roman"/>
          <w:sz w:val="24"/>
          <w:szCs w:val="24"/>
        </w:rPr>
        <w:t xml:space="preserve"> pa većina učenika putuje javnim gradskim ili međugradskim prijevozom. Prostor se dijeli s Ekonomskom- birotehn</w:t>
      </w:r>
      <w:r w:rsidR="00606F02">
        <w:rPr>
          <w:rFonts w:ascii="Times New Roman" w:eastAsia="Times New Roman" w:hAnsi="Times New Roman" w:cs="Times New Roman"/>
          <w:sz w:val="24"/>
          <w:szCs w:val="24"/>
        </w:rPr>
        <w:t>ičkom i trgovačkom školom Zadar</w:t>
      </w:r>
      <w:r>
        <w:rPr>
          <w:rFonts w:ascii="Times New Roman" w:eastAsia="Times New Roman" w:hAnsi="Times New Roman" w:cs="Times New Roman"/>
          <w:sz w:val="24"/>
          <w:szCs w:val="24"/>
        </w:rPr>
        <w:t xml:space="preserve"> te se raspolaže sa 15 specijaliziranih učionica, 3 praktikuma s garderobama, 8 kabineta, dvorane za tjelesni odgoj, vanjskim igralištem i knjižnicom.</w:t>
      </w:r>
    </w:p>
    <w:p w:rsidR="008A3FC6" w:rsidRDefault="008A3FC6">
      <w:pPr>
        <w:spacing w:after="0"/>
        <w:ind w:left="-426" w:right="-142"/>
        <w:jc w:val="both"/>
        <w:rPr>
          <w:rFonts w:ascii="Times New Roman" w:eastAsia="Times New Roman" w:hAnsi="Times New Roman" w:cs="Times New Roman"/>
          <w:sz w:val="24"/>
          <w:szCs w:val="24"/>
        </w:rPr>
      </w:pPr>
    </w:p>
    <w:p w:rsidR="008A3FC6" w:rsidRDefault="00B3180F">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Šifra škole: </w:t>
      </w:r>
      <w:r>
        <w:rPr>
          <w:rFonts w:ascii="Times New Roman" w:eastAsia="Times New Roman" w:hAnsi="Times New Roman" w:cs="Times New Roman"/>
          <w:b/>
          <w:sz w:val="24"/>
          <w:szCs w:val="24"/>
        </w:rPr>
        <w:t>13-107-519</w:t>
      </w:r>
    </w:p>
    <w:p w:rsidR="008A3FC6" w:rsidRDefault="00B3180F">
      <w:pPr>
        <w:spacing w:after="0"/>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Ukupan broj učenika: </w:t>
      </w:r>
      <w:r w:rsidR="00A80435">
        <w:rPr>
          <w:rFonts w:ascii="Times New Roman" w:eastAsia="Times New Roman" w:hAnsi="Times New Roman" w:cs="Times New Roman"/>
          <w:b/>
          <w:sz w:val="24"/>
          <w:szCs w:val="24"/>
        </w:rPr>
        <w:t>588</w:t>
      </w:r>
    </w:p>
    <w:p w:rsidR="008A3FC6" w:rsidRDefault="00B3180F">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Ukupan broj odjela: </w:t>
      </w:r>
      <w:r>
        <w:rPr>
          <w:rFonts w:ascii="Times New Roman" w:eastAsia="Times New Roman" w:hAnsi="Times New Roman" w:cs="Times New Roman"/>
          <w:b/>
          <w:sz w:val="24"/>
          <w:szCs w:val="24"/>
        </w:rPr>
        <w:t>30</w:t>
      </w:r>
    </w:p>
    <w:p w:rsidR="008A3FC6" w:rsidRDefault="00B3180F">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Ukupan broj radnika: </w:t>
      </w:r>
      <w:r>
        <w:rPr>
          <w:rFonts w:ascii="Times New Roman" w:eastAsia="Times New Roman" w:hAnsi="Times New Roman" w:cs="Times New Roman"/>
          <w:b/>
          <w:sz w:val="24"/>
          <w:szCs w:val="24"/>
        </w:rPr>
        <w:t>74</w:t>
      </w:r>
    </w:p>
    <w:p w:rsidR="008A3FC6" w:rsidRDefault="008A3FC6">
      <w:pPr>
        <w:spacing w:after="0"/>
        <w:ind w:left="-426" w:right="-142"/>
        <w:jc w:val="both"/>
        <w:rPr>
          <w:rFonts w:ascii="Times New Roman" w:eastAsia="Times New Roman" w:hAnsi="Times New Roman" w:cs="Times New Roman"/>
          <w:sz w:val="24"/>
          <w:szCs w:val="24"/>
        </w:rPr>
      </w:pPr>
    </w:p>
    <w:p w:rsidR="008A3FC6" w:rsidRDefault="00B3180F">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toga: </w:t>
      </w:r>
      <w:r>
        <w:rPr>
          <w:rFonts w:ascii="Times New Roman" w:eastAsia="Times New Roman" w:hAnsi="Times New Roman" w:cs="Times New Roman"/>
          <w:b/>
          <w:sz w:val="24"/>
          <w:szCs w:val="24"/>
        </w:rPr>
        <w:t>1 ravnatelj, 1 tajnica, 2 stručna suradnika (pedagog i knjižničar), 1 psiholog, 1 voditeljica računovodstva, 1 administrativni radnik, te tehničko i pomoćno osoblje (6)</w:t>
      </w:r>
      <w:r>
        <w:rPr>
          <w:rFonts w:ascii="Times New Roman" w:eastAsia="Times New Roman" w:hAnsi="Times New Roman" w:cs="Times New Roman"/>
          <w:sz w:val="24"/>
          <w:szCs w:val="24"/>
        </w:rPr>
        <w:t>.</w:t>
      </w:r>
    </w:p>
    <w:p w:rsidR="008A3FC6" w:rsidRDefault="008A3FC6">
      <w:pPr>
        <w:spacing w:after="0"/>
        <w:ind w:left="-426" w:right="-142"/>
        <w:jc w:val="both"/>
        <w:rPr>
          <w:rFonts w:ascii="Times New Roman" w:eastAsia="Times New Roman" w:hAnsi="Times New Roman" w:cs="Times New Roman"/>
          <w:sz w:val="24"/>
          <w:szCs w:val="24"/>
        </w:rPr>
      </w:pPr>
    </w:p>
    <w:p w:rsidR="008A3FC6" w:rsidRDefault="00B3180F">
      <w:pPr>
        <w:spacing w:after="0"/>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Škola obrazuje učenike za zanimanja: </w:t>
      </w:r>
      <w:r>
        <w:rPr>
          <w:rFonts w:ascii="Times New Roman" w:eastAsia="Times New Roman" w:hAnsi="Times New Roman" w:cs="Times New Roman"/>
          <w:b/>
          <w:sz w:val="24"/>
          <w:szCs w:val="24"/>
        </w:rPr>
        <w:t>kuhar, konobar, slastičar, turističko- hotelijerski komercijalist, hotelijersko- turistički tehničar, pomoćni kuhar i slastičar (učenici s teškoćama u razvoju), pomoćni konobar (učenici s teškoćama u razvoju).</w:t>
      </w:r>
    </w:p>
    <w:p w:rsidR="008A3FC6" w:rsidRDefault="008A3FC6">
      <w:pPr>
        <w:spacing w:after="0"/>
        <w:ind w:left="-426" w:right="-142"/>
        <w:jc w:val="both"/>
        <w:rPr>
          <w:rFonts w:ascii="Times New Roman" w:eastAsia="Times New Roman" w:hAnsi="Times New Roman" w:cs="Times New Roman"/>
          <w:sz w:val="24"/>
          <w:szCs w:val="24"/>
        </w:rPr>
      </w:pPr>
    </w:p>
    <w:p w:rsidR="008A3FC6" w:rsidRDefault="00B3180F">
      <w:pPr>
        <w:spacing w:after="0"/>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Upravljanje: </w:t>
      </w:r>
      <w:r>
        <w:rPr>
          <w:rFonts w:ascii="Times New Roman" w:eastAsia="Times New Roman" w:hAnsi="Times New Roman" w:cs="Times New Roman"/>
          <w:b/>
          <w:sz w:val="24"/>
          <w:szCs w:val="24"/>
        </w:rPr>
        <w:t>Školom upravlja školski odbor (7 članova koji se imenuju na razdoblje od četiri godine).</w:t>
      </w:r>
    </w:p>
    <w:p w:rsidR="008A3FC6" w:rsidRDefault="00B3180F">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Ravnatelj je poslovodni i stručni voditelj škole</w:t>
      </w:r>
      <w:r>
        <w:rPr>
          <w:rFonts w:ascii="Times New Roman" w:eastAsia="Times New Roman" w:hAnsi="Times New Roman" w:cs="Times New Roman"/>
          <w:sz w:val="24"/>
          <w:szCs w:val="24"/>
        </w:rPr>
        <w:t>.</w:t>
      </w:r>
    </w:p>
    <w:p w:rsidR="008A3FC6" w:rsidRDefault="008A3FC6">
      <w:pPr>
        <w:spacing w:after="0"/>
        <w:ind w:left="-426" w:right="-142"/>
        <w:jc w:val="both"/>
        <w:rPr>
          <w:rFonts w:ascii="Times New Roman" w:eastAsia="Times New Roman" w:hAnsi="Times New Roman" w:cs="Times New Roman"/>
          <w:sz w:val="24"/>
          <w:szCs w:val="24"/>
        </w:rPr>
      </w:pPr>
    </w:p>
    <w:p w:rsidR="008A3FC6" w:rsidRDefault="00B3180F">
      <w:pPr>
        <w:spacing w:after="0"/>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Stručna tijela Škole su Nastavničko vijeće i Razredno vijeće.</w:t>
      </w:r>
    </w:p>
    <w:p w:rsidR="008A3FC6" w:rsidRDefault="00B3180F">
      <w:pPr>
        <w:rPr>
          <w:rFonts w:ascii="Times New Roman" w:eastAsia="Times New Roman" w:hAnsi="Times New Roman" w:cs="Times New Roman"/>
          <w:b/>
          <w:sz w:val="24"/>
          <w:szCs w:val="24"/>
        </w:rPr>
      </w:pPr>
      <w:r>
        <w:br w:type="page"/>
      </w:r>
    </w:p>
    <w:p w:rsidR="008A3FC6" w:rsidRDefault="00B3180F">
      <w:pPr>
        <w:spacing w:after="0"/>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IMOVINA ŠKOLE</w:t>
      </w:r>
    </w:p>
    <w:p w:rsidR="008A3FC6" w:rsidRDefault="00B3180F">
      <w:pPr>
        <w:spacing w:after="0"/>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Imovinu Škole čine nekretnine, pokretnine, potraživanja i novac.</w:t>
      </w:r>
    </w:p>
    <w:p w:rsidR="008A3FC6" w:rsidRDefault="008A3FC6">
      <w:pPr>
        <w:ind w:left="-426" w:right="-142"/>
        <w:jc w:val="both"/>
        <w:rPr>
          <w:rFonts w:ascii="Times New Roman" w:eastAsia="Times New Roman" w:hAnsi="Times New Roman" w:cs="Times New Roman"/>
          <w:sz w:val="24"/>
          <w:szCs w:val="24"/>
        </w:rPr>
      </w:pPr>
    </w:p>
    <w:p w:rsidR="008A3FC6" w:rsidRDefault="00B3180F">
      <w:pPr>
        <w:spacing w:after="0"/>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IZVORI FINANCIRANJA</w:t>
      </w:r>
    </w:p>
    <w:p w:rsidR="008A3FC6" w:rsidRDefault="00B3180F">
      <w:pPr>
        <w:spacing w:after="0"/>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Škola se financira sredstvima </w:t>
      </w:r>
      <w:r>
        <w:rPr>
          <w:rFonts w:ascii="Times New Roman" w:eastAsia="Times New Roman" w:hAnsi="Times New Roman" w:cs="Times New Roman"/>
          <w:b/>
          <w:sz w:val="24"/>
          <w:szCs w:val="24"/>
        </w:rPr>
        <w:t>Ministarstva znanosti, obrazovanja i športa</w:t>
      </w:r>
      <w:r>
        <w:rPr>
          <w:rFonts w:ascii="Times New Roman" w:eastAsia="Times New Roman" w:hAnsi="Times New Roman" w:cs="Times New Roman"/>
          <w:sz w:val="24"/>
          <w:szCs w:val="24"/>
        </w:rPr>
        <w:t xml:space="preserve"> (plaće i doprinosi na plaće, materijalna prava radnika iz Kolektivnog ugovora, naknada za nezapošlja</w:t>
      </w:r>
      <w:r w:rsidR="000E33D5">
        <w:rPr>
          <w:rFonts w:ascii="Times New Roman" w:eastAsia="Times New Roman" w:hAnsi="Times New Roman" w:cs="Times New Roman"/>
          <w:sz w:val="24"/>
          <w:szCs w:val="24"/>
        </w:rPr>
        <w:t>vanje osoba s invaliditetom),</w:t>
      </w:r>
      <w:r>
        <w:rPr>
          <w:rFonts w:ascii="Times New Roman" w:eastAsia="Times New Roman" w:hAnsi="Times New Roman" w:cs="Times New Roman"/>
          <w:sz w:val="24"/>
          <w:szCs w:val="24"/>
        </w:rPr>
        <w:t xml:space="preserve"> decentraliziranim sredstvima </w:t>
      </w:r>
      <w:r>
        <w:rPr>
          <w:rFonts w:ascii="Times New Roman" w:eastAsia="Times New Roman" w:hAnsi="Times New Roman" w:cs="Times New Roman"/>
          <w:b/>
          <w:sz w:val="24"/>
          <w:szCs w:val="24"/>
        </w:rPr>
        <w:t>Zadarske županije</w:t>
      </w:r>
      <w:r>
        <w:rPr>
          <w:rFonts w:ascii="Times New Roman" w:eastAsia="Times New Roman" w:hAnsi="Times New Roman" w:cs="Times New Roman"/>
          <w:sz w:val="24"/>
          <w:szCs w:val="24"/>
        </w:rPr>
        <w:t xml:space="preserve"> (materijalni izdaci), kao i </w:t>
      </w:r>
      <w:r>
        <w:rPr>
          <w:rFonts w:ascii="Times New Roman" w:eastAsia="Times New Roman" w:hAnsi="Times New Roman" w:cs="Times New Roman"/>
          <w:b/>
          <w:sz w:val="24"/>
          <w:szCs w:val="24"/>
        </w:rPr>
        <w:t>vlastitim sredstvima</w:t>
      </w:r>
      <w:r>
        <w:rPr>
          <w:rFonts w:ascii="Times New Roman" w:eastAsia="Times New Roman" w:hAnsi="Times New Roman" w:cs="Times New Roman"/>
          <w:sz w:val="24"/>
          <w:szCs w:val="24"/>
        </w:rPr>
        <w:t xml:space="preserve"> te sredstvima dobivenima putem </w:t>
      </w:r>
      <w:r>
        <w:rPr>
          <w:rFonts w:ascii="Times New Roman" w:eastAsia="Times New Roman" w:hAnsi="Times New Roman" w:cs="Times New Roman"/>
          <w:b/>
          <w:sz w:val="24"/>
          <w:szCs w:val="24"/>
        </w:rPr>
        <w:t>EU projekata</w:t>
      </w:r>
      <w:r>
        <w:rPr>
          <w:rFonts w:ascii="Times New Roman" w:eastAsia="Times New Roman" w:hAnsi="Times New Roman" w:cs="Times New Roman"/>
          <w:sz w:val="24"/>
          <w:szCs w:val="24"/>
        </w:rPr>
        <w:t>.</w:t>
      </w:r>
    </w:p>
    <w:p w:rsidR="008A3FC6" w:rsidRDefault="008A3FC6">
      <w:pPr>
        <w:ind w:left="-426" w:right="-142"/>
        <w:jc w:val="both"/>
        <w:rPr>
          <w:rFonts w:ascii="Times New Roman" w:eastAsia="Times New Roman" w:hAnsi="Times New Roman" w:cs="Times New Roman"/>
          <w:b/>
          <w:sz w:val="24"/>
          <w:szCs w:val="24"/>
        </w:rPr>
      </w:pPr>
    </w:p>
    <w:p w:rsidR="008A3FC6" w:rsidRDefault="00B3180F">
      <w:pPr>
        <w:ind w:left="-426" w:righ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OBRAZLOŽENJE </w:t>
      </w:r>
      <w:r w:rsidR="000E33D5">
        <w:rPr>
          <w:rFonts w:ascii="Times New Roman" w:eastAsia="Times New Roman" w:hAnsi="Times New Roman" w:cs="Times New Roman"/>
          <w:b/>
          <w:sz w:val="24"/>
          <w:szCs w:val="24"/>
        </w:rPr>
        <w:t>REBALANSA 1 ZA 2023. GODINU</w:t>
      </w:r>
    </w:p>
    <w:p w:rsidR="008A3FC6" w:rsidRDefault="00B3180F">
      <w:pPr>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skladu s čl. 29. i 30. Zakona o proračunu (NN 87/08, 136/12, 15/15 i 144/21) i Zakona o fiskalnoj odgovornosti (NN 139/10, 19/14, 111/18) te nizom drugih propisa koji uređuju područje stjecanja i raspoređivanja proračunskih sredstava (Pravilnik o proračunskom računovodstvu i računskom planu, Pravilnik o proračunskim klasifikacijama), </w:t>
      </w:r>
      <w:r w:rsidR="001E38B8">
        <w:rPr>
          <w:rFonts w:ascii="Times New Roman" w:eastAsia="Times New Roman" w:hAnsi="Times New Roman" w:cs="Times New Roman"/>
          <w:sz w:val="24"/>
          <w:szCs w:val="24"/>
        </w:rPr>
        <w:t>donesene su izmjene i dopune financijsk</w:t>
      </w:r>
      <w:r w:rsidR="00B179FC">
        <w:rPr>
          <w:rFonts w:ascii="Times New Roman" w:eastAsia="Times New Roman" w:hAnsi="Times New Roman" w:cs="Times New Roman"/>
          <w:sz w:val="24"/>
          <w:szCs w:val="24"/>
        </w:rPr>
        <w:t>og plana proračunskog korisnika za 2023. godinu – Rebalans 1.</w:t>
      </w:r>
    </w:p>
    <w:p w:rsidR="008A3FC6" w:rsidRDefault="00B3180F">
      <w:pPr>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Škole odgovoran je za zakonito i pravilno planiranje i izvršavanje financijskog plana.</w:t>
      </w:r>
    </w:p>
    <w:p w:rsidR="008A3FC6" w:rsidRPr="00B179FC" w:rsidRDefault="00B179FC">
      <w:pPr>
        <w:ind w:left="-426" w:right="-142"/>
        <w:jc w:val="both"/>
        <w:rPr>
          <w:rFonts w:ascii="Times New Roman" w:eastAsia="Times New Roman" w:hAnsi="Times New Roman" w:cs="Times New Roman"/>
          <w:sz w:val="24"/>
          <w:szCs w:val="24"/>
        </w:rPr>
      </w:pPr>
      <w:r w:rsidRPr="00B179FC">
        <w:rPr>
          <w:rFonts w:ascii="Times New Roman" w:eastAsia="Times New Roman" w:hAnsi="Times New Roman" w:cs="Times New Roman"/>
          <w:sz w:val="24"/>
          <w:szCs w:val="24"/>
        </w:rPr>
        <w:t>Rebalans 1</w:t>
      </w:r>
      <w:r w:rsidR="00B3180F" w:rsidRPr="00B179FC">
        <w:rPr>
          <w:rFonts w:ascii="Times New Roman" w:eastAsia="Times New Roman" w:hAnsi="Times New Roman" w:cs="Times New Roman"/>
          <w:sz w:val="24"/>
          <w:szCs w:val="24"/>
        </w:rPr>
        <w:t xml:space="preserve"> sadrži prihode i primitke iskazane po vrstama i po izvorima iz kojih potječu (Državni proračun, decentralizirana sredstva Zadarske županije, vlastita sredstva i sredstva za p</w:t>
      </w:r>
      <w:r w:rsidR="001E38B8" w:rsidRPr="00B179FC">
        <w:rPr>
          <w:rFonts w:ascii="Times New Roman" w:eastAsia="Times New Roman" w:hAnsi="Times New Roman" w:cs="Times New Roman"/>
          <w:sz w:val="24"/>
          <w:szCs w:val="24"/>
        </w:rPr>
        <w:t>osebne namjene)</w:t>
      </w:r>
      <w:r w:rsidR="00B3180F" w:rsidRPr="00B179FC">
        <w:rPr>
          <w:rFonts w:ascii="Times New Roman" w:eastAsia="Times New Roman" w:hAnsi="Times New Roman" w:cs="Times New Roman"/>
          <w:sz w:val="24"/>
          <w:szCs w:val="24"/>
        </w:rPr>
        <w:t xml:space="preserve"> te rashode i izdatke razvrstane prema izvorima financiranja, predviđene za </w:t>
      </w:r>
      <w:r w:rsidR="00174BE8">
        <w:rPr>
          <w:rFonts w:ascii="Times New Roman" w:eastAsia="Times New Roman" w:hAnsi="Times New Roman" w:cs="Times New Roman"/>
          <w:sz w:val="24"/>
          <w:szCs w:val="24"/>
        </w:rPr>
        <w:t>potrebe Škole do kraja godine.</w:t>
      </w:r>
    </w:p>
    <w:p w:rsidR="008A3FC6" w:rsidRDefault="00F05D45" w:rsidP="00174BE8">
      <w:pPr>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Svi prihodi i primici kao i</w:t>
      </w:r>
      <w:r w:rsidR="00B3180F" w:rsidRPr="00B179FC">
        <w:rPr>
          <w:rFonts w:ascii="Times New Roman" w:eastAsia="Times New Roman" w:hAnsi="Times New Roman" w:cs="Times New Roman"/>
          <w:sz w:val="24"/>
          <w:szCs w:val="24"/>
        </w:rPr>
        <w:t xml:space="preserve"> rashodi i izdaci utvrđeni ovim </w:t>
      </w:r>
      <w:r w:rsidR="00B179FC" w:rsidRPr="00B179FC">
        <w:rPr>
          <w:rFonts w:ascii="Times New Roman" w:eastAsia="Times New Roman" w:hAnsi="Times New Roman" w:cs="Times New Roman"/>
          <w:sz w:val="24"/>
          <w:szCs w:val="24"/>
        </w:rPr>
        <w:t>rebalansom</w:t>
      </w:r>
      <w:r w:rsidR="00B3180F" w:rsidRPr="00B179FC">
        <w:rPr>
          <w:rFonts w:ascii="Times New Roman" w:eastAsia="Times New Roman" w:hAnsi="Times New Roman" w:cs="Times New Roman"/>
          <w:sz w:val="24"/>
          <w:szCs w:val="24"/>
        </w:rPr>
        <w:t xml:space="preserve"> su uravnoteženi.</w:t>
      </w:r>
    </w:p>
    <w:p w:rsidR="00174BE8" w:rsidRDefault="00174BE8" w:rsidP="00174BE8">
      <w:pPr>
        <w:ind w:left="-426" w:right="-142"/>
        <w:jc w:val="both"/>
        <w:rPr>
          <w:rFonts w:ascii="Times New Roman" w:eastAsia="Times New Roman" w:hAnsi="Times New Roman" w:cs="Times New Roman"/>
          <w:sz w:val="24"/>
          <w:szCs w:val="24"/>
        </w:rPr>
      </w:pPr>
    </w:p>
    <w:p w:rsidR="008A3FC6" w:rsidRDefault="00B3180F">
      <w:pPr>
        <w:numPr>
          <w:ilvl w:val="0"/>
          <w:numId w:val="2"/>
        </w:numPr>
        <w:pBdr>
          <w:top w:val="nil"/>
          <w:left w:val="nil"/>
          <w:bottom w:val="nil"/>
          <w:right w:val="nil"/>
          <w:between w:val="nil"/>
        </w:pBdr>
        <w:ind w:left="-426" w:right="-142"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DECENTRALIZIRANA SREDSTVA ZADARSKE ŽUPANIJE</w:t>
      </w:r>
    </w:p>
    <w:p w:rsidR="0046798B" w:rsidRDefault="0046798B" w:rsidP="0046798B">
      <w:pPr>
        <w:pBdr>
          <w:top w:val="nil"/>
          <w:left w:val="nil"/>
          <w:bottom w:val="nil"/>
          <w:right w:val="nil"/>
          <w:between w:val="nil"/>
        </w:pBdr>
        <w:ind w:left="-426" w:right="-142"/>
        <w:jc w:val="both"/>
        <w:rPr>
          <w:rFonts w:ascii="Times New Roman" w:eastAsia="Times New Roman" w:hAnsi="Times New Roman" w:cs="Times New Roman"/>
          <w:b/>
          <w:color w:val="000000"/>
          <w:sz w:val="24"/>
          <w:szCs w:val="24"/>
        </w:rPr>
      </w:pPr>
    </w:p>
    <w:tbl>
      <w:tblPr>
        <w:tblStyle w:val="a"/>
        <w:tblW w:w="68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
        <w:gridCol w:w="1412"/>
        <w:gridCol w:w="1410"/>
        <w:gridCol w:w="1537"/>
        <w:gridCol w:w="1646"/>
      </w:tblGrid>
      <w:tr w:rsidR="00497525" w:rsidTr="00497525">
        <w:trPr>
          <w:trHeight w:val="737"/>
          <w:jc w:val="center"/>
        </w:trPr>
        <w:tc>
          <w:tcPr>
            <w:tcW w:w="889" w:type="dxa"/>
            <w:tcBorders>
              <w:bottom w:val="single" w:sz="4" w:space="0" w:color="000000"/>
            </w:tcBorders>
            <w:shd w:val="clear" w:color="auto" w:fill="D9D9D9"/>
          </w:tcPr>
          <w:p w:rsidR="00497525" w:rsidRDefault="00497525">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Razdjel</w:t>
            </w:r>
          </w:p>
        </w:tc>
        <w:tc>
          <w:tcPr>
            <w:tcW w:w="1412" w:type="dxa"/>
            <w:tcBorders>
              <w:bottom w:val="single" w:sz="4" w:space="0" w:color="000000"/>
            </w:tcBorders>
            <w:shd w:val="clear" w:color="auto" w:fill="D9D9D9"/>
          </w:tcPr>
          <w:p w:rsidR="00497525" w:rsidRDefault="00497525">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Program</w:t>
            </w:r>
          </w:p>
        </w:tc>
        <w:tc>
          <w:tcPr>
            <w:tcW w:w="1410" w:type="dxa"/>
            <w:shd w:val="clear" w:color="auto" w:fill="D9D9D9"/>
          </w:tcPr>
          <w:p w:rsidR="00497525" w:rsidRDefault="00497525">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Plan 2023.</w:t>
            </w:r>
          </w:p>
        </w:tc>
        <w:tc>
          <w:tcPr>
            <w:tcW w:w="1537" w:type="dxa"/>
            <w:shd w:val="clear" w:color="auto" w:fill="D9D9D9"/>
          </w:tcPr>
          <w:p w:rsidR="00497525" w:rsidRDefault="00497525">
            <w:pPr>
              <w:tabs>
                <w:tab w:val="left" w:pos="673"/>
              </w:tabs>
              <w:spacing w:after="120" w:line="240" w:lineRule="auto"/>
              <w:ind w:left="-147"/>
              <w:jc w:val="center"/>
              <w:rPr>
                <w:rFonts w:ascii="Times New Roman" w:eastAsia="Times New Roman" w:hAnsi="Times New Roman" w:cs="Times New Roman"/>
              </w:rPr>
            </w:pPr>
            <w:proofErr w:type="spellStart"/>
            <w:r>
              <w:rPr>
                <w:rFonts w:ascii="Times New Roman" w:eastAsia="Times New Roman" w:hAnsi="Times New Roman" w:cs="Times New Roman"/>
              </w:rPr>
              <w:t>Rebalabs</w:t>
            </w:r>
            <w:proofErr w:type="spellEnd"/>
            <w:r>
              <w:rPr>
                <w:rFonts w:ascii="Times New Roman" w:eastAsia="Times New Roman" w:hAnsi="Times New Roman" w:cs="Times New Roman"/>
              </w:rPr>
              <w:t xml:space="preserve"> 1 2023.</w:t>
            </w:r>
          </w:p>
        </w:tc>
        <w:tc>
          <w:tcPr>
            <w:tcW w:w="1646" w:type="dxa"/>
            <w:shd w:val="clear" w:color="auto" w:fill="D9D9D9"/>
          </w:tcPr>
          <w:p w:rsidR="00497525" w:rsidRDefault="00497525" w:rsidP="00D069FB">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 xml:space="preserve">Indeks </w:t>
            </w:r>
            <w:r w:rsidR="00D069FB">
              <w:rPr>
                <w:rFonts w:ascii="Times New Roman" w:eastAsia="Times New Roman" w:hAnsi="Times New Roman" w:cs="Times New Roman"/>
              </w:rPr>
              <w:t>Rebalans/Plan</w:t>
            </w:r>
          </w:p>
        </w:tc>
      </w:tr>
      <w:tr w:rsidR="00497525" w:rsidTr="00497525">
        <w:trPr>
          <w:trHeight w:val="737"/>
          <w:jc w:val="center"/>
        </w:trPr>
        <w:tc>
          <w:tcPr>
            <w:tcW w:w="889" w:type="dxa"/>
            <w:tcBorders>
              <w:bottom w:val="single" w:sz="4" w:space="0" w:color="auto"/>
            </w:tcBorders>
          </w:tcPr>
          <w:p w:rsidR="00497525" w:rsidRDefault="00497525">
            <w:pPr>
              <w:tabs>
                <w:tab w:val="left" w:pos="673"/>
              </w:tabs>
              <w:spacing w:after="120" w:line="240" w:lineRule="auto"/>
              <w:ind w:left="-147"/>
              <w:jc w:val="center"/>
              <w:rPr>
                <w:rFonts w:ascii="Times New Roman" w:eastAsia="Times New Roman" w:hAnsi="Times New Roman" w:cs="Times New Roman"/>
                <w:b/>
              </w:rPr>
            </w:pPr>
            <w:r>
              <w:rPr>
                <w:rFonts w:ascii="Times New Roman" w:eastAsia="Times New Roman" w:hAnsi="Times New Roman" w:cs="Times New Roman"/>
                <w:b/>
              </w:rPr>
              <w:t>030</w:t>
            </w:r>
          </w:p>
        </w:tc>
        <w:tc>
          <w:tcPr>
            <w:tcW w:w="1412" w:type="dxa"/>
            <w:tcBorders>
              <w:bottom w:val="single" w:sz="4" w:space="0" w:color="auto"/>
            </w:tcBorders>
          </w:tcPr>
          <w:p w:rsidR="00497525" w:rsidRDefault="00497525">
            <w:pPr>
              <w:tabs>
                <w:tab w:val="left" w:pos="673"/>
              </w:tabs>
              <w:spacing w:after="120" w:line="240" w:lineRule="auto"/>
              <w:ind w:left="-147"/>
              <w:jc w:val="center"/>
              <w:rPr>
                <w:rFonts w:ascii="Times New Roman" w:eastAsia="Times New Roman" w:hAnsi="Times New Roman" w:cs="Times New Roman"/>
                <w:b/>
              </w:rPr>
            </w:pPr>
            <w:r>
              <w:rPr>
                <w:rFonts w:ascii="Times New Roman" w:eastAsia="Times New Roman" w:hAnsi="Times New Roman" w:cs="Times New Roman"/>
                <w:b/>
              </w:rPr>
              <w:t>2204-01</w:t>
            </w:r>
          </w:p>
        </w:tc>
        <w:tc>
          <w:tcPr>
            <w:tcW w:w="1410" w:type="dxa"/>
            <w:tcBorders>
              <w:bottom w:val="single" w:sz="4" w:space="0" w:color="auto"/>
            </w:tcBorders>
          </w:tcPr>
          <w:p w:rsidR="00497525" w:rsidRPr="00497525" w:rsidRDefault="00497525">
            <w:pPr>
              <w:tabs>
                <w:tab w:val="left" w:pos="673"/>
              </w:tabs>
              <w:spacing w:after="120" w:line="240" w:lineRule="auto"/>
              <w:ind w:left="-147"/>
              <w:jc w:val="center"/>
              <w:rPr>
                <w:rFonts w:ascii="Times New Roman" w:eastAsia="Times New Roman" w:hAnsi="Times New Roman" w:cs="Times New Roman"/>
              </w:rPr>
            </w:pPr>
            <w:r w:rsidRPr="00497525">
              <w:rPr>
                <w:rFonts w:ascii="Times New Roman" w:eastAsia="Times New Roman" w:hAnsi="Times New Roman" w:cs="Times New Roman"/>
              </w:rPr>
              <w:t>140.983,98</w:t>
            </w:r>
          </w:p>
        </w:tc>
        <w:tc>
          <w:tcPr>
            <w:tcW w:w="1537" w:type="dxa"/>
          </w:tcPr>
          <w:p w:rsidR="00497525" w:rsidRPr="00497525" w:rsidRDefault="00497525">
            <w:pPr>
              <w:tabs>
                <w:tab w:val="left" w:pos="673"/>
              </w:tabs>
              <w:spacing w:after="120" w:line="240" w:lineRule="auto"/>
              <w:ind w:left="-147"/>
              <w:jc w:val="center"/>
              <w:rPr>
                <w:rFonts w:ascii="Times New Roman" w:eastAsia="Times New Roman" w:hAnsi="Times New Roman" w:cs="Times New Roman"/>
              </w:rPr>
            </w:pPr>
            <w:r w:rsidRPr="00497525">
              <w:rPr>
                <w:rFonts w:ascii="Times New Roman" w:eastAsia="Times New Roman" w:hAnsi="Times New Roman" w:cs="Times New Roman"/>
              </w:rPr>
              <w:t>190.788,68</w:t>
            </w:r>
          </w:p>
        </w:tc>
        <w:tc>
          <w:tcPr>
            <w:tcW w:w="1646" w:type="dxa"/>
          </w:tcPr>
          <w:p w:rsidR="00497525" w:rsidRPr="00497525" w:rsidRDefault="00497525">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1,35</w:t>
            </w:r>
          </w:p>
        </w:tc>
      </w:tr>
    </w:tbl>
    <w:p w:rsidR="008A3FC6" w:rsidRDefault="008A3FC6">
      <w:pPr>
        <w:ind w:left="-426" w:right="-142"/>
        <w:jc w:val="both"/>
        <w:rPr>
          <w:rFonts w:ascii="Times New Roman" w:eastAsia="Times New Roman" w:hAnsi="Times New Roman" w:cs="Times New Roman"/>
          <w:b/>
          <w:sz w:val="24"/>
          <w:szCs w:val="24"/>
        </w:rPr>
      </w:pPr>
    </w:p>
    <w:p w:rsidR="008A3FC6" w:rsidRDefault="00B3180F">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i sredstva su namijenjena financiranju materijalnih rashoda Škole, a koji se sastoje od troška prijevoza zaposlenika s posla i na posao, službena putovanja i usavršavanje zaposlenika, za podmirivanje troška </w:t>
      </w:r>
      <w:r w:rsidR="00A80435">
        <w:rPr>
          <w:rFonts w:ascii="Times New Roman" w:eastAsia="Times New Roman" w:hAnsi="Times New Roman" w:cs="Times New Roman"/>
          <w:sz w:val="24"/>
          <w:szCs w:val="24"/>
        </w:rPr>
        <w:t>uredskog materijala</w:t>
      </w:r>
      <w:r>
        <w:rPr>
          <w:rFonts w:ascii="Times New Roman" w:eastAsia="Times New Roman" w:hAnsi="Times New Roman" w:cs="Times New Roman"/>
          <w:sz w:val="24"/>
          <w:szCs w:val="24"/>
        </w:rPr>
        <w:t xml:space="preserve"> te materijala za čišćenje i higijenu, komunalne usluge, grijanje, usluge održavanja računala, usluge i materijal za redovno investicijskog održavanje zgrade i prostorija, osiguranje, članarine i ostali rashodi i izdaci povezani s redovnim radom Škole. </w:t>
      </w:r>
    </w:p>
    <w:p w:rsidR="008A3FC6" w:rsidRDefault="008A3FC6">
      <w:pPr>
        <w:spacing w:after="0"/>
        <w:ind w:left="-426" w:right="-142"/>
        <w:jc w:val="both"/>
        <w:rPr>
          <w:rFonts w:ascii="Times New Roman" w:eastAsia="Times New Roman" w:hAnsi="Times New Roman" w:cs="Times New Roman"/>
          <w:sz w:val="24"/>
          <w:szCs w:val="24"/>
        </w:rPr>
      </w:pPr>
    </w:p>
    <w:p w:rsidR="008A3FC6" w:rsidRDefault="00497525">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 za 2023. godinu </w:t>
      </w:r>
      <w:r w:rsidR="00854F42">
        <w:rPr>
          <w:rFonts w:ascii="Times New Roman" w:eastAsia="Times New Roman" w:hAnsi="Times New Roman" w:cs="Times New Roman"/>
          <w:sz w:val="24"/>
          <w:szCs w:val="24"/>
        </w:rPr>
        <w:t>zasnivao se na stanju tekuće 2022. godine</w:t>
      </w:r>
      <w:r w:rsidR="00B3180F">
        <w:rPr>
          <w:rFonts w:ascii="Times New Roman" w:eastAsia="Times New Roman" w:hAnsi="Times New Roman" w:cs="Times New Roman"/>
          <w:sz w:val="24"/>
          <w:szCs w:val="24"/>
        </w:rPr>
        <w:t xml:space="preserve"> te usporedbom s prethodnim godinama i realnoj procjeni plana za sljedeću godinu, </w:t>
      </w:r>
      <w:r w:rsidR="00A80435">
        <w:rPr>
          <w:rFonts w:ascii="Times New Roman" w:eastAsia="Times New Roman" w:hAnsi="Times New Roman" w:cs="Times New Roman"/>
          <w:sz w:val="24"/>
          <w:szCs w:val="24"/>
        </w:rPr>
        <w:t>limit za Školu iznosio je 140.983,98 eura</w:t>
      </w:r>
      <w:r w:rsidR="00B3180F">
        <w:rPr>
          <w:rFonts w:ascii="Times New Roman" w:eastAsia="Times New Roman" w:hAnsi="Times New Roman" w:cs="Times New Roman"/>
          <w:sz w:val="24"/>
          <w:szCs w:val="24"/>
        </w:rPr>
        <w:t>,</w:t>
      </w:r>
      <w:r w:rsidR="00A5742C">
        <w:rPr>
          <w:rFonts w:ascii="Times New Roman" w:eastAsia="Times New Roman" w:hAnsi="Times New Roman" w:cs="Times New Roman"/>
          <w:sz w:val="24"/>
          <w:szCs w:val="24"/>
        </w:rPr>
        <w:t xml:space="preserve"> a s</w:t>
      </w:r>
      <w:r w:rsidR="00B3180F">
        <w:rPr>
          <w:rFonts w:ascii="Times New Roman" w:eastAsia="Times New Roman" w:hAnsi="Times New Roman" w:cs="Times New Roman"/>
          <w:sz w:val="24"/>
          <w:szCs w:val="24"/>
        </w:rPr>
        <w:t>redstva su raspoređena prema mogućnostima.</w:t>
      </w:r>
    </w:p>
    <w:p w:rsidR="008A3FC6" w:rsidRDefault="00B3180F">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Raspored sredstava obavljen je suk</w:t>
      </w:r>
      <w:r w:rsidR="00497525">
        <w:rPr>
          <w:rFonts w:ascii="Times New Roman" w:eastAsia="Times New Roman" w:hAnsi="Times New Roman" w:cs="Times New Roman"/>
          <w:sz w:val="24"/>
          <w:szCs w:val="24"/>
        </w:rPr>
        <w:t>ladno Uputi za izradu proračuna</w:t>
      </w:r>
      <w:r>
        <w:rPr>
          <w:rFonts w:ascii="Times New Roman" w:eastAsia="Times New Roman" w:hAnsi="Times New Roman" w:cs="Times New Roman"/>
          <w:sz w:val="24"/>
          <w:szCs w:val="24"/>
        </w:rPr>
        <w:t xml:space="preserve"> te smo kod planiranja rashoda za osiguranje minimalnog financijskog standarda za decentralizirane funkcije primjenjivali zadane indekse. </w:t>
      </w:r>
    </w:p>
    <w:p w:rsidR="00A80435" w:rsidRDefault="00A80435">
      <w:pPr>
        <w:spacing w:after="0"/>
        <w:ind w:left="-426" w:right="-142"/>
        <w:jc w:val="both"/>
        <w:rPr>
          <w:rFonts w:ascii="Times New Roman" w:eastAsia="Times New Roman" w:hAnsi="Times New Roman" w:cs="Times New Roman"/>
          <w:sz w:val="24"/>
          <w:szCs w:val="24"/>
        </w:rPr>
      </w:pPr>
    </w:p>
    <w:p w:rsidR="00A80435" w:rsidRDefault="00A80435">
      <w:pPr>
        <w:spacing w:after="0"/>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Izmjenama i dopunama limit je povećan i sada iznosi 190.788,68 eura. Ukupan iznos dodijeljenih sredstava raspoređen je po pozicijama sukladno predviđenim potrebama škole do kraja godine.</w:t>
      </w:r>
    </w:p>
    <w:p w:rsidR="008A3FC6" w:rsidRDefault="008A3FC6">
      <w:pPr>
        <w:spacing w:after="0"/>
        <w:ind w:right="-142"/>
        <w:rPr>
          <w:rFonts w:ascii="Times New Roman" w:eastAsia="Times New Roman" w:hAnsi="Times New Roman" w:cs="Times New Roman"/>
          <w:sz w:val="24"/>
          <w:szCs w:val="24"/>
        </w:rPr>
      </w:pPr>
    </w:p>
    <w:p w:rsidR="008A3FC6" w:rsidRDefault="00B3180F">
      <w:pPr>
        <w:numPr>
          <w:ilvl w:val="0"/>
          <w:numId w:val="2"/>
        </w:numPr>
        <w:pBdr>
          <w:top w:val="nil"/>
          <w:left w:val="nil"/>
          <w:bottom w:val="nil"/>
          <w:right w:val="nil"/>
          <w:between w:val="nil"/>
        </w:pBdr>
        <w:spacing w:after="0"/>
        <w:ind w:right="-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ADMINISTRACIJA I UPRAVLJANJE </w:t>
      </w:r>
    </w:p>
    <w:p w:rsidR="008A3FC6" w:rsidRDefault="008A3FC6">
      <w:pPr>
        <w:spacing w:after="0"/>
        <w:ind w:left="-426" w:right="-142"/>
        <w:rPr>
          <w:rFonts w:ascii="Times New Roman" w:eastAsia="Times New Roman" w:hAnsi="Times New Roman" w:cs="Times New Roman"/>
          <w:b/>
          <w:sz w:val="24"/>
          <w:szCs w:val="24"/>
        </w:rPr>
      </w:pPr>
    </w:p>
    <w:p w:rsidR="008A3FC6" w:rsidRDefault="008A3FC6">
      <w:pPr>
        <w:spacing w:after="0"/>
        <w:ind w:left="-426" w:right="-142"/>
        <w:rPr>
          <w:rFonts w:ascii="Times New Roman" w:eastAsia="Times New Roman" w:hAnsi="Times New Roman" w:cs="Times New Roman"/>
          <w:b/>
          <w:sz w:val="24"/>
          <w:szCs w:val="24"/>
        </w:rPr>
      </w:pPr>
    </w:p>
    <w:tbl>
      <w:tblPr>
        <w:tblStyle w:val="a0"/>
        <w:tblW w:w="6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195"/>
        <w:gridCol w:w="1591"/>
        <w:gridCol w:w="1591"/>
        <w:gridCol w:w="1479"/>
      </w:tblGrid>
      <w:tr w:rsidR="00A80435" w:rsidTr="00A80435">
        <w:trPr>
          <w:trHeight w:val="737"/>
          <w:jc w:val="center"/>
        </w:trPr>
        <w:tc>
          <w:tcPr>
            <w:tcW w:w="945" w:type="dxa"/>
            <w:tcBorders>
              <w:bottom w:val="single" w:sz="4" w:space="0" w:color="000000"/>
            </w:tcBorders>
            <w:shd w:val="clear" w:color="auto" w:fill="D9D9D9"/>
          </w:tcPr>
          <w:p w:rsidR="00A80435" w:rsidRDefault="00A80435" w:rsidP="00A80435">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Razdjel</w:t>
            </w:r>
          </w:p>
        </w:tc>
        <w:tc>
          <w:tcPr>
            <w:tcW w:w="1195" w:type="dxa"/>
            <w:tcBorders>
              <w:bottom w:val="single" w:sz="4" w:space="0" w:color="000000"/>
            </w:tcBorders>
            <w:shd w:val="clear" w:color="auto" w:fill="D9D9D9"/>
          </w:tcPr>
          <w:p w:rsidR="00A80435" w:rsidRDefault="00A80435" w:rsidP="00A80435">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1591" w:type="dxa"/>
            <w:shd w:val="clear" w:color="auto" w:fill="D9D9D9"/>
          </w:tcPr>
          <w:p w:rsidR="00A80435" w:rsidRDefault="00A80435" w:rsidP="00A80435">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Plan 2023.</w:t>
            </w:r>
          </w:p>
        </w:tc>
        <w:tc>
          <w:tcPr>
            <w:tcW w:w="1591" w:type="dxa"/>
            <w:shd w:val="clear" w:color="auto" w:fill="D9D9D9"/>
          </w:tcPr>
          <w:p w:rsidR="00A80435" w:rsidRDefault="00A80435" w:rsidP="00A80435">
            <w:pPr>
              <w:tabs>
                <w:tab w:val="left" w:pos="673"/>
              </w:tabs>
              <w:spacing w:after="120" w:line="240" w:lineRule="auto"/>
              <w:ind w:left="-147"/>
              <w:jc w:val="center"/>
              <w:rPr>
                <w:rFonts w:ascii="Times New Roman" w:eastAsia="Times New Roman" w:hAnsi="Times New Roman" w:cs="Times New Roman"/>
              </w:rPr>
            </w:pPr>
            <w:proofErr w:type="spellStart"/>
            <w:r>
              <w:rPr>
                <w:rFonts w:ascii="Times New Roman" w:eastAsia="Times New Roman" w:hAnsi="Times New Roman" w:cs="Times New Roman"/>
              </w:rPr>
              <w:t>Rebalabs</w:t>
            </w:r>
            <w:proofErr w:type="spellEnd"/>
            <w:r>
              <w:rPr>
                <w:rFonts w:ascii="Times New Roman" w:eastAsia="Times New Roman" w:hAnsi="Times New Roman" w:cs="Times New Roman"/>
              </w:rPr>
              <w:t xml:space="preserve"> 1 2023.</w:t>
            </w:r>
          </w:p>
        </w:tc>
        <w:tc>
          <w:tcPr>
            <w:tcW w:w="1479" w:type="dxa"/>
            <w:shd w:val="clear" w:color="auto" w:fill="D9D9D9"/>
          </w:tcPr>
          <w:p w:rsidR="00A80435" w:rsidRDefault="00D069FB" w:rsidP="00A80435">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Indeks Rebalans/Plan</w:t>
            </w:r>
          </w:p>
        </w:tc>
      </w:tr>
      <w:tr w:rsidR="00A80435" w:rsidTr="00A80435">
        <w:trPr>
          <w:trHeight w:val="737"/>
          <w:jc w:val="center"/>
        </w:trPr>
        <w:tc>
          <w:tcPr>
            <w:tcW w:w="945" w:type="dxa"/>
            <w:tcBorders>
              <w:bottom w:val="single" w:sz="4" w:space="0" w:color="000000"/>
            </w:tcBorders>
          </w:tcPr>
          <w:p w:rsidR="00A80435" w:rsidRDefault="00A80435">
            <w:pPr>
              <w:ind w:left="-5"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w:t>
            </w:r>
          </w:p>
        </w:tc>
        <w:tc>
          <w:tcPr>
            <w:tcW w:w="1195" w:type="dxa"/>
            <w:tcBorders>
              <w:bottom w:val="single" w:sz="4" w:space="0" w:color="000000"/>
            </w:tcBorders>
          </w:tcPr>
          <w:p w:rsidR="00A80435" w:rsidRDefault="00A80435">
            <w:pPr>
              <w:ind w:left="-5"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2204-07</w:t>
            </w:r>
          </w:p>
        </w:tc>
        <w:tc>
          <w:tcPr>
            <w:tcW w:w="1591" w:type="dxa"/>
          </w:tcPr>
          <w:p w:rsidR="00A80435" w:rsidRDefault="00A80435">
            <w:pPr>
              <w:ind w:left="-5" w:right="-142"/>
              <w:rPr>
                <w:rFonts w:ascii="Times New Roman" w:eastAsia="Times New Roman" w:hAnsi="Times New Roman" w:cs="Times New Roman"/>
                <w:sz w:val="24"/>
                <w:szCs w:val="24"/>
              </w:rPr>
            </w:pPr>
            <w:r>
              <w:rPr>
                <w:rFonts w:ascii="Times New Roman" w:eastAsia="Times New Roman" w:hAnsi="Times New Roman" w:cs="Times New Roman"/>
                <w:b/>
                <w:sz w:val="24"/>
                <w:szCs w:val="24"/>
              </w:rPr>
              <w:t>1.369.832,12</w:t>
            </w:r>
          </w:p>
        </w:tc>
        <w:tc>
          <w:tcPr>
            <w:tcW w:w="1591" w:type="dxa"/>
          </w:tcPr>
          <w:p w:rsidR="00A80435" w:rsidRDefault="00A80435">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1.496.700,00</w:t>
            </w:r>
          </w:p>
        </w:tc>
        <w:tc>
          <w:tcPr>
            <w:tcW w:w="1479" w:type="dxa"/>
          </w:tcPr>
          <w:p w:rsidR="00A80435" w:rsidRDefault="00A80435">
            <w:pPr>
              <w:ind w:left="-5"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r>
    </w:tbl>
    <w:p w:rsidR="008A3FC6" w:rsidRDefault="008A3FC6">
      <w:pPr>
        <w:ind w:left="-426" w:right="-142"/>
        <w:rPr>
          <w:rFonts w:ascii="Times New Roman" w:eastAsia="Times New Roman" w:hAnsi="Times New Roman" w:cs="Times New Roman"/>
          <w:b/>
          <w:sz w:val="24"/>
          <w:szCs w:val="24"/>
        </w:rPr>
      </w:pPr>
    </w:p>
    <w:p w:rsidR="008A3FC6" w:rsidRDefault="00B3180F">
      <w:pPr>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 programom Administracija i upravljanje planiraju se sredstva za rashode plaća zaposlenika Škole, doprinosi iz plaće, rashodi za materijalna prava koja zaposlenici </w:t>
      </w:r>
      <w:r w:rsidR="00A80435">
        <w:rPr>
          <w:rFonts w:ascii="Times New Roman" w:eastAsia="Times New Roman" w:hAnsi="Times New Roman" w:cs="Times New Roman"/>
          <w:sz w:val="24"/>
          <w:szCs w:val="24"/>
        </w:rPr>
        <w:t>imaju prema Kolektivnom ugovoru</w:t>
      </w:r>
      <w:r>
        <w:rPr>
          <w:rFonts w:ascii="Times New Roman" w:eastAsia="Times New Roman" w:hAnsi="Times New Roman" w:cs="Times New Roman"/>
          <w:sz w:val="24"/>
          <w:szCs w:val="24"/>
        </w:rPr>
        <w:t xml:space="preserve"> te naknada za nezapošljavanje osoba s invaliditetom. S obzirom na povećanje neoporezivih naknada navedenih u Pravilniku o izmjenama i dopuni Pravilnika o porezu na dohodak (NN 112/20</w:t>
      </w:r>
      <w:r w:rsidR="00A80435">
        <w:rPr>
          <w:rFonts w:ascii="Times New Roman" w:eastAsia="Times New Roman" w:hAnsi="Times New Roman" w:cs="Times New Roman"/>
          <w:sz w:val="24"/>
          <w:szCs w:val="24"/>
        </w:rPr>
        <w:t>22) koji je donesen 28.09.2022.</w:t>
      </w:r>
      <w:r>
        <w:rPr>
          <w:rFonts w:ascii="Times New Roman" w:eastAsia="Times New Roman" w:hAnsi="Times New Roman" w:cs="Times New Roman"/>
          <w:sz w:val="24"/>
          <w:szCs w:val="24"/>
        </w:rPr>
        <w:t xml:space="preserve"> te </w:t>
      </w:r>
      <w:r w:rsidR="00A80435">
        <w:rPr>
          <w:rFonts w:ascii="Times New Roman" w:eastAsia="Times New Roman" w:hAnsi="Times New Roman" w:cs="Times New Roman"/>
          <w:sz w:val="24"/>
          <w:szCs w:val="24"/>
        </w:rPr>
        <w:t>povećanja proračunske</w:t>
      </w:r>
      <w:r>
        <w:rPr>
          <w:rFonts w:ascii="Times New Roman" w:eastAsia="Times New Roman" w:hAnsi="Times New Roman" w:cs="Times New Roman"/>
          <w:sz w:val="24"/>
          <w:szCs w:val="24"/>
        </w:rPr>
        <w:t xml:space="preserve"> osnovice plaća u prosvjeti, </w:t>
      </w:r>
      <w:r w:rsidR="00A80435">
        <w:rPr>
          <w:rFonts w:ascii="Times New Roman" w:eastAsia="Times New Roman" w:hAnsi="Times New Roman" w:cs="Times New Roman"/>
          <w:sz w:val="24"/>
          <w:szCs w:val="24"/>
        </w:rPr>
        <w:t>došlo je do povećanja indeksa.</w:t>
      </w:r>
    </w:p>
    <w:p w:rsidR="008A3FC6" w:rsidRDefault="008A3FC6">
      <w:pPr>
        <w:ind w:left="-426" w:right="-142"/>
        <w:rPr>
          <w:rFonts w:ascii="Times New Roman" w:eastAsia="Times New Roman" w:hAnsi="Times New Roman" w:cs="Times New Roman"/>
          <w:sz w:val="24"/>
          <w:szCs w:val="24"/>
        </w:rPr>
      </w:pPr>
    </w:p>
    <w:p w:rsidR="008A3FC6" w:rsidRDefault="00B3180F">
      <w:pPr>
        <w:numPr>
          <w:ilvl w:val="0"/>
          <w:numId w:val="2"/>
        </w:numPr>
        <w:pBdr>
          <w:top w:val="nil"/>
          <w:left w:val="nil"/>
          <w:bottom w:val="nil"/>
          <w:right w:val="nil"/>
          <w:between w:val="nil"/>
        </w:pBdr>
        <w:ind w:right="-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VLASTITI PRIHODI I RASHODI</w:t>
      </w:r>
    </w:p>
    <w:p w:rsidR="008A3FC6" w:rsidRDefault="00B3180F">
      <w:pPr>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Vlastiti prihodi su svi oni prihodi koje Škola ostvari obavljanjem poslova na tržištu, a to su: namjenski prihodi ( </w:t>
      </w:r>
      <w:r w:rsidR="00A80435">
        <w:rPr>
          <w:rFonts w:ascii="Times New Roman" w:eastAsia="Times New Roman" w:hAnsi="Times New Roman" w:cs="Times New Roman"/>
          <w:sz w:val="24"/>
          <w:szCs w:val="24"/>
        </w:rPr>
        <w:t>izdavanje duplikata svjedodžbi)</w:t>
      </w:r>
      <w:r>
        <w:rPr>
          <w:rFonts w:ascii="Times New Roman" w:eastAsia="Times New Roman" w:hAnsi="Times New Roman" w:cs="Times New Roman"/>
          <w:sz w:val="24"/>
          <w:szCs w:val="24"/>
        </w:rPr>
        <w:t xml:space="preserve"> te najam dvorane, najam vanjskog prostora poduzeću Tvornica kruha Zadar, ili najam praktikuma za polaganje majstorskih ispita. Novčana sredstva uplaćuju se na jedinstveni račun Zadarske županije, što je definirano čl. 60 Zakona o Proračunu (NN </w:t>
      </w:r>
      <w:hyperlink r:id="rId7">
        <w:r>
          <w:rPr>
            <w:rFonts w:ascii="Times New Roman" w:eastAsia="Times New Roman" w:hAnsi="Times New Roman" w:cs="Times New Roman"/>
            <w:color w:val="000000"/>
            <w:sz w:val="24"/>
            <w:szCs w:val="24"/>
            <w:u w:val="single"/>
          </w:rPr>
          <w:t>87/08</w:t>
        </w:r>
      </w:hyperlink>
      <w:r>
        <w:rPr>
          <w:rFonts w:ascii="Times New Roman" w:eastAsia="Times New Roman" w:hAnsi="Times New Roman" w:cs="Times New Roman"/>
          <w:sz w:val="24"/>
          <w:szCs w:val="24"/>
        </w:rPr>
        <w:t>, </w:t>
      </w:r>
      <w:hyperlink r:id="rId8">
        <w:r>
          <w:rPr>
            <w:rFonts w:ascii="Times New Roman" w:eastAsia="Times New Roman" w:hAnsi="Times New Roman" w:cs="Times New Roman"/>
            <w:color w:val="000000"/>
            <w:sz w:val="24"/>
            <w:szCs w:val="24"/>
            <w:u w:val="single"/>
          </w:rPr>
          <w:t>136/12</w:t>
        </w:r>
      </w:hyperlink>
      <w:r>
        <w:rPr>
          <w:rFonts w:ascii="Times New Roman" w:eastAsia="Times New Roman" w:hAnsi="Times New Roman" w:cs="Times New Roman"/>
          <w:sz w:val="24"/>
          <w:szCs w:val="24"/>
        </w:rPr>
        <w:t>, </w:t>
      </w:r>
      <w:hyperlink r:id="rId9">
        <w:r>
          <w:rPr>
            <w:rFonts w:ascii="Times New Roman" w:eastAsia="Times New Roman" w:hAnsi="Times New Roman" w:cs="Times New Roman"/>
            <w:color w:val="000000"/>
            <w:sz w:val="24"/>
            <w:szCs w:val="24"/>
            <w:u w:val="single"/>
          </w:rPr>
          <w:t>15/15</w:t>
        </w:r>
      </w:hyperlink>
      <w:r>
        <w:rPr>
          <w:rFonts w:ascii="Times New Roman" w:eastAsia="Times New Roman" w:hAnsi="Times New Roman" w:cs="Times New Roman"/>
          <w:color w:val="000000"/>
          <w:sz w:val="24"/>
          <w:szCs w:val="24"/>
          <w:u w:val="single"/>
        </w:rPr>
        <w:t>, 144/21</w:t>
      </w:r>
      <w:r>
        <w:rPr>
          <w:rFonts w:ascii="Times New Roman" w:eastAsia="Times New Roman" w:hAnsi="Times New Roman" w:cs="Times New Roman"/>
          <w:sz w:val="24"/>
          <w:szCs w:val="24"/>
        </w:rPr>
        <w:t>). Kroz sustav Županijske riznice osigurani su svi podaci na temelju kojih se prati ostvarivanje planiranih prihoda i rashoda. Ukoliko se ne utroše sva sredstva, napravit će se plan uravnoteženja, a višak ostvarenog prihoda rasporedit će se u iduću proračunsku godinu.</w:t>
      </w:r>
    </w:p>
    <w:p w:rsidR="008A3FC6" w:rsidRDefault="00B3180F">
      <w:pPr>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Sva vlastita sredstva Škol</w:t>
      </w:r>
      <w:r w:rsidR="000E33D5">
        <w:rPr>
          <w:rFonts w:ascii="Times New Roman" w:eastAsia="Times New Roman" w:hAnsi="Times New Roman" w:cs="Times New Roman"/>
          <w:sz w:val="24"/>
          <w:szCs w:val="24"/>
        </w:rPr>
        <w:t>e troše se zakonski i namjenski</w:t>
      </w:r>
      <w:r>
        <w:rPr>
          <w:rFonts w:ascii="Times New Roman" w:eastAsia="Times New Roman" w:hAnsi="Times New Roman" w:cs="Times New Roman"/>
          <w:sz w:val="24"/>
          <w:szCs w:val="24"/>
        </w:rPr>
        <w:t xml:space="preserve"> te se koriste za unaprjeđenje nastavno- obrazovnog procesa, administrativnih </w:t>
      </w:r>
      <w:r w:rsidR="000E33D5">
        <w:rPr>
          <w:rFonts w:ascii="Times New Roman" w:eastAsia="Times New Roman" w:hAnsi="Times New Roman" w:cs="Times New Roman"/>
          <w:sz w:val="24"/>
          <w:szCs w:val="24"/>
        </w:rPr>
        <w:t>procesa</w:t>
      </w:r>
      <w:r>
        <w:rPr>
          <w:rFonts w:ascii="Times New Roman" w:eastAsia="Times New Roman" w:hAnsi="Times New Roman" w:cs="Times New Roman"/>
          <w:sz w:val="24"/>
          <w:szCs w:val="24"/>
        </w:rPr>
        <w:t xml:space="preserve"> te redovnog i izvanrednog održavanja prostora unutar i van Škole. </w:t>
      </w:r>
    </w:p>
    <w:p w:rsidR="008A3FC6" w:rsidRDefault="00B3180F">
      <w:pPr>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Prihod za posebne namjene</w:t>
      </w:r>
      <w:r w:rsidR="00BE5F0F">
        <w:rPr>
          <w:rFonts w:ascii="Times New Roman" w:eastAsia="Times New Roman" w:hAnsi="Times New Roman" w:cs="Times New Roman"/>
          <w:sz w:val="24"/>
          <w:szCs w:val="24"/>
        </w:rPr>
        <w:t xml:space="preserve"> i vlastiti prihod</w:t>
      </w:r>
    </w:p>
    <w:tbl>
      <w:tblPr>
        <w:tblStyle w:val="a1"/>
        <w:tblW w:w="69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
        <w:gridCol w:w="1401"/>
        <w:gridCol w:w="1417"/>
        <w:gridCol w:w="1544"/>
        <w:gridCol w:w="1637"/>
      </w:tblGrid>
      <w:tr w:rsidR="00BE5F0F" w:rsidTr="00BE5F0F">
        <w:trPr>
          <w:trHeight w:val="737"/>
          <w:jc w:val="center"/>
        </w:trPr>
        <w:tc>
          <w:tcPr>
            <w:tcW w:w="950" w:type="dxa"/>
            <w:tcBorders>
              <w:bottom w:val="single" w:sz="4" w:space="0" w:color="000000"/>
            </w:tcBorders>
            <w:shd w:val="clear" w:color="auto" w:fill="D9D9D9"/>
          </w:tcPr>
          <w:p w:rsidR="00BE5F0F" w:rsidRDefault="00BE5F0F" w:rsidP="00BE5F0F">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Razdjel</w:t>
            </w:r>
          </w:p>
        </w:tc>
        <w:tc>
          <w:tcPr>
            <w:tcW w:w="1401" w:type="dxa"/>
            <w:tcBorders>
              <w:bottom w:val="single" w:sz="4" w:space="0" w:color="000000"/>
            </w:tcBorders>
            <w:shd w:val="clear" w:color="auto" w:fill="D9D9D9"/>
          </w:tcPr>
          <w:p w:rsidR="00BE5F0F" w:rsidRDefault="00BE5F0F" w:rsidP="00BE5F0F">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1417" w:type="dxa"/>
            <w:shd w:val="clear" w:color="auto" w:fill="D9D9D9"/>
          </w:tcPr>
          <w:p w:rsidR="00BE5F0F" w:rsidRDefault="00BE5F0F" w:rsidP="00BE5F0F">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Plan 2023.</w:t>
            </w:r>
          </w:p>
        </w:tc>
        <w:tc>
          <w:tcPr>
            <w:tcW w:w="1544" w:type="dxa"/>
            <w:shd w:val="clear" w:color="auto" w:fill="D9D9D9"/>
          </w:tcPr>
          <w:p w:rsidR="00BE5F0F" w:rsidRDefault="00BE5F0F" w:rsidP="00BE5F0F">
            <w:pPr>
              <w:tabs>
                <w:tab w:val="left" w:pos="673"/>
              </w:tabs>
              <w:spacing w:after="120" w:line="240" w:lineRule="auto"/>
              <w:ind w:left="-147"/>
              <w:jc w:val="center"/>
              <w:rPr>
                <w:rFonts w:ascii="Times New Roman" w:eastAsia="Times New Roman" w:hAnsi="Times New Roman" w:cs="Times New Roman"/>
              </w:rPr>
            </w:pPr>
            <w:proofErr w:type="spellStart"/>
            <w:r>
              <w:rPr>
                <w:rFonts w:ascii="Times New Roman" w:eastAsia="Times New Roman" w:hAnsi="Times New Roman" w:cs="Times New Roman"/>
              </w:rPr>
              <w:t>Rebalabs</w:t>
            </w:r>
            <w:proofErr w:type="spellEnd"/>
            <w:r>
              <w:rPr>
                <w:rFonts w:ascii="Times New Roman" w:eastAsia="Times New Roman" w:hAnsi="Times New Roman" w:cs="Times New Roman"/>
              </w:rPr>
              <w:t xml:space="preserve"> 1 2023.</w:t>
            </w:r>
          </w:p>
        </w:tc>
        <w:tc>
          <w:tcPr>
            <w:tcW w:w="1637" w:type="dxa"/>
            <w:shd w:val="clear" w:color="auto" w:fill="D9D9D9"/>
          </w:tcPr>
          <w:p w:rsidR="00BE5F0F" w:rsidRDefault="00BE5F0F" w:rsidP="00BE5F0F">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Indeks Rebalans/Plan</w:t>
            </w:r>
          </w:p>
        </w:tc>
      </w:tr>
      <w:tr w:rsidR="00BE5F0F" w:rsidTr="00BE5F0F">
        <w:trPr>
          <w:trHeight w:val="737"/>
          <w:jc w:val="center"/>
        </w:trPr>
        <w:tc>
          <w:tcPr>
            <w:tcW w:w="950" w:type="dxa"/>
            <w:tcBorders>
              <w:bottom w:val="single" w:sz="4" w:space="0" w:color="000000"/>
            </w:tcBorders>
          </w:tcPr>
          <w:p w:rsidR="00BE5F0F" w:rsidRDefault="00BE5F0F">
            <w:pPr>
              <w:ind w:righ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w:t>
            </w:r>
          </w:p>
        </w:tc>
        <w:tc>
          <w:tcPr>
            <w:tcW w:w="1401" w:type="dxa"/>
            <w:tcBorders>
              <w:bottom w:val="single" w:sz="4" w:space="0" w:color="000000"/>
            </w:tcBorders>
          </w:tcPr>
          <w:p w:rsidR="00BE5F0F" w:rsidRDefault="00BE5F0F">
            <w:pPr>
              <w:ind w:righ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2204-12</w:t>
            </w:r>
          </w:p>
        </w:tc>
        <w:tc>
          <w:tcPr>
            <w:tcW w:w="1417" w:type="dxa"/>
          </w:tcPr>
          <w:p w:rsidR="00BE5F0F" w:rsidRDefault="00BE5F0F">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1.061,79</w:t>
            </w:r>
          </w:p>
        </w:tc>
        <w:tc>
          <w:tcPr>
            <w:tcW w:w="1544" w:type="dxa"/>
          </w:tcPr>
          <w:p w:rsidR="00BE5F0F" w:rsidRDefault="00BE5F0F">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000D2842">
              <w:rPr>
                <w:rFonts w:ascii="Times New Roman" w:eastAsia="Times New Roman" w:hAnsi="Times New Roman" w:cs="Times New Roman"/>
                <w:sz w:val="24"/>
                <w:szCs w:val="24"/>
              </w:rPr>
              <w:t>,00</w:t>
            </w:r>
          </w:p>
        </w:tc>
        <w:tc>
          <w:tcPr>
            <w:tcW w:w="1637" w:type="dxa"/>
          </w:tcPr>
          <w:p w:rsidR="00BE5F0F" w:rsidRDefault="00BE5F0F">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0,57</w:t>
            </w:r>
          </w:p>
        </w:tc>
      </w:tr>
      <w:tr w:rsidR="00BE5F0F" w:rsidTr="00BE5F0F">
        <w:trPr>
          <w:trHeight w:val="737"/>
          <w:jc w:val="center"/>
        </w:trPr>
        <w:tc>
          <w:tcPr>
            <w:tcW w:w="950" w:type="dxa"/>
            <w:tcBorders>
              <w:bottom w:val="single" w:sz="4" w:space="0" w:color="000000"/>
            </w:tcBorders>
          </w:tcPr>
          <w:p w:rsidR="00BE5F0F" w:rsidRDefault="00BE5F0F" w:rsidP="00BE5F0F">
            <w:pPr>
              <w:ind w:righ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w:t>
            </w:r>
          </w:p>
        </w:tc>
        <w:tc>
          <w:tcPr>
            <w:tcW w:w="1401" w:type="dxa"/>
            <w:tcBorders>
              <w:bottom w:val="single" w:sz="4" w:space="0" w:color="000000"/>
            </w:tcBorders>
          </w:tcPr>
          <w:p w:rsidR="00BE5F0F" w:rsidRDefault="00BE5F0F" w:rsidP="00BE5F0F">
            <w:pPr>
              <w:ind w:righ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2204-12</w:t>
            </w:r>
          </w:p>
        </w:tc>
        <w:tc>
          <w:tcPr>
            <w:tcW w:w="1417" w:type="dxa"/>
          </w:tcPr>
          <w:p w:rsidR="00BE5F0F" w:rsidRDefault="000D2842" w:rsidP="00BE5F0F">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1.592,68</w:t>
            </w:r>
          </w:p>
        </w:tc>
        <w:tc>
          <w:tcPr>
            <w:tcW w:w="1544" w:type="dxa"/>
          </w:tcPr>
          <w:p w:rsidR="00BE5F0F" w:rsidRDefault="000D2842" w:rsidP="00BE5F0F">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1637" w:type="dxa"/>
          </w:tcPr>
          <w:p w:rsidR="00BE5F0F" w:rsidRDefault="000D2842" w:rsidP="00BE5F0F">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r>
    </w:tbl>
    <w:p w:rsidR="008A3FC6" w:rsidRDefault="008A3FC6">
      <w:pPr>
        <w:ind w:right="-142"/>
        <w:jc w:val="both"/>
        <w:rPr>
          <w:rFonts w:ascii="Times New Roman" w:eastAsia="Times New Roman" w:hAnsi="Times New Roman" w:cs="Times New Roman"/>
          <w:sz w:val="24"/>
          <w:szCs w:val="24"/>
        </w:rPr>
      </w:pPr>
    </w:p>
    <w:p w:rsidR="008A3FC6" w:rsidRDefault="000D2842">
      <w:pPr>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Povećanje indeksa za vlastite prihode dogodio se jer je Škola zaključila da će do kraja godine više puta iznajmiti učionice i dvoranu za razna događanja.</w:t>
      </w:r>
    </w:p>
    <w:p w:rsidR="003729FD" w:rsidRDefault="003729FD">
      <w:pPr>
        <w:ind w:left="-426" w:right="-142"/>
        <w:jc w:val="both"/>
        <w:rPr>
          <w:rFonts w:ascii="Times New Roman" w:eastAsia="Times New Roman" w:hAnsi="Times New Roman" w:cs="Times New Roman"/>
          <w:sz w:val="24"/>
          <w:szCs w:val="24"/>
        </w:rPr>
      </w:pPr>
    </w:p>
    <w:p w:rsidR="008A3FC6" w:rsidRDefault="00B3180F">
      <w:pPr>
        <w:numPr>
          <w:ilvl w:val="1"/>
          <w:numId w:val="2"/>
        </w:numPr>
        <w:pBdr>
          <w:top w:val="nil"/>
          <w:left w:val="nil"/>
          <w:bottom w:val="nil"/>
          <w:right w:val="nil"/>
          <w:between w:val="nil"/>
        </w:pBdr>
        <w:ind w:righ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Višak sredstava SŠ</w:t>
      </w:r>
    </w:p>
    <w:p w:rsidR="008A3FC6" w:rsidRDefault="008A3FC6">
      <w:pPr>
        <w:ind w:right="-142"/>
        <w:rPr>
          <w:rFonts w:ascii="Times New Roman" w:eastAsia="Times New Roman" w:hAnsi="Times New Roman" w:cs="Times New Roman"/>
          <w:b/>
          <w:sz w:val="24"/>
          <w:szCs w:val="24"/>
        </w:rPr>
      </w:pPr>
    </w:p>
    <w:tbl>
      <w:tblPr>
        <w:tblStyle w:val="a2"/>
        <w:tblW w:w="69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
        <w:gridCol w:w="1401"/>
        <w:gridCol w:w="1417"/>
        <w:gridCol w:w="1544"/>
        <w:gridCol w:w="1637"/>
      </w:tblGrid>
      <w:tr w:rsidR="000D2842" w:rsidTr="000D2842">
        <w:trPr>
          <w:trHeight w:val="737"/>
          <w:jc w:val="center"/>
        </w:trPr>
        <w:tc>
          <w:tcPr>
            <w:tcW w:w="950" w:type="dxa"/>
            <w:tcBorders>
              <w:bottom w:val="single" w:sz="4" w:space="0" w:color="000000"/>
            </w:tcBorders>
            <w:shd w:val="clear" w:color="auto" w:fill="D9D9D9"/>
          </w:tcPr>
          <w:p w:rsidR="000D2842" w:rsidRDefault="000D2842" w:rsidP="000D2842">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Razdjel</w:t>
            </w:r>
          </w:p>
        </w:tc>
        <w:tc>
          <w:tcPr>
            <w:tcW w:w="1401" w:type="dxa"/>
            <w:tcBorders>
              <w:bottom w:val="single" w:sz="4" w:space="0" w:color="000000"/>
            </w:tcBorders>
            <w:shd w:val="clear" w:color="auto" w:fill="D9D9D9"/>
          </w:tcPr>
          <w:p w:rsidR="000D2842" w:rsidRDefault="000D2842" w:rsidP="000D2842">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1417" w:type="dxa"/>
            <w:shd w:val="clear" w:color="auto" w:fill="D9D9D9"/>
          </w:tcPr>
          <w:p w:rsidR="000D2842" w:rsidRDefault="000D2842" w:rsidP="000D2842">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Plan 2023.</w:t>
            </w:r>
          </w:p>
        </w:tc>
        <w:tc>
          <w:tcPr>
            <w:tcW w:w="1544" w:type="dxa"/>
            <w:shd w:val="clear" w:color="auto" w:fill="D9D9D9"/>
          </w:tcPr>
          <w:p w:rsidR="000D2842" w:rsidRDefault="000D2842" w:rsidP="000D2842">
            <w:pPr>
              <w:tabs>
                <w:tab w:val="left" w:pos="673"/>
              </w:tabs>
              <w:spacing w:after="120" w:line="240" w:lineRule="auto"/>
              <w:ind w:left="-147"/>
              <w:jc w:val="center"/>
              <w:rPr>
                <w:rFonts w:ascii="Times New Roman" w:eastAsia="Times New Roman" w:hAnsi="Times New Roman" w:cs="Times New Roman"/>
              </w:rPr>
            </w:pPr>
            <w:proofErr w:type="spellStart"/>
            <w:r>
              <w:rPr>
                <w:rFonts w:ascii="Times New Roman" w:eastAsia="Times New Roman" w:hAnsi="Times New Roman" w:cs="Times New Roman"/>
              </w:rPr>
              <w:t>Rebalabs</w:t>
            </w:r>
            <w:proofErr w:type="spellEnd"/>
            <w:r>
              <w:rPr>
                <w:rFonts w:ascii="Times New Roman" w:eastAsia="Times New Roman" w:hAnsi="Times New Roman" w:cs="Times New Roman"/>
              </w:rPr>
              <w:t xml:space="preserve"> 1 2023.</w:t>
            </w:r>
          </w:p>
        </w:tc>
        <w:tc>
          <w:tcPr>
            <w:tcW w:w="1637" w:type="dxa"/>
            <w:shd w:val="clear" w:color="auto" w:fill="D9D9D9"/>
          </w:tcPr>
          <w:p w:rsidR="000D2842" w:rsidRDefault="000D2842" w:rsidP="000D2842">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Indeks Rebalans/Plan</w:t>
            </w:r>
          </w:p>
        </w:tc>
      </w:tr>
      <w:tr w:rsidR="000D2842" w:rsidTr="000D2842">
        <w:trPr>
          <w:trHeight w:val="737"/>
          <w:jc w:val="center"/>
        </w:trPr>
        <w:tc>
          <w:tcPr>
            <w:tcW w:w="950" w:type="dxa"/>
            <w:tcBorders>
              <w:bottom w:val="single" w:sz="4" w:space="0" w:color="000000"/>
            </w:tcBorders>
          </w:tcPr>
          <w:p w:rsidR="000D2842" w:rsidRDefault="000D2842">
            <w:pPr>
              <w:ind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w:t>
            </w:r>
          </w:p>
        </w:tc>
        <w:tc>
          <w:tcPr>
            <w:tcW w:w="1401" w:type="dxa"/>
            <w:tcBorders>
              <w:bottom w:val="single" w:sz="4" w:space="0" w:color="000000"/>
            </w:tcBorders>
          </w:tcPr>
          <w:p w:rsidR="000D2842" w:rsidRDefault="000D2842">
            <w:pPr>
              <w:ind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2204-12</w:t>
            </w:r>
          </w:p>
        </w:tc>
        <w:tc>
          <w:tcPr>
            <w:tcW w:w="1417" w:type="dxa"/>
          </w:tcPr>
          <w:p w:rsidR="000D2842" w:rsidRDefault="000D2842">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4.778,03</w:t>
            </w:r>
          </w:p>
        </w:tc>
        <w:tc>
          <w:tcPr>
            <w:tcW w:w="1544" w:type="dxa"/>
          </w:tcPr>
          <w:p w:rsidR="000D2842" w:rsidRDefault="00A6490B">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15.075,09</w:t>
            </w:r>
          </w:p>
        </w:tc>
        <w:tc>
          <w:tcPr>
            <w:tcW w:w="1637" w:type="dxa"/>
          </w:tcPr>
          <w:p w:rsidR="000D2842" w:rsidRDefault="00A6490B">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r>
    </w:tbl>
    <w:p w:rsidR="000D2842" w:rsidRDefault="000D2842" w:rsidP="000D2842">
      <w:pPr>
        <w:ind w:right="-142"/>
        <w:jc w:val="both"/>
        <w:rPr>
          <w:rFonts w:ascii="Times New Roman" w:eastAsia="Times New Roman" w:hAnsi="Times New Roman" w:cs="Times New Roman"/>
          <w:sz w:val="24"/>
          <w:szCs w:val="24"/>
        </w:rPr>
      </w:pPr>
    </w:p>
    <w:p w:rsidR="000D2842" w:rsidRDefault="000D2842" w:rsidP="000D2842">
      <w:pPr>
        <w:ind w:left="-42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ukupnog viška sredstava financiraju se Projekti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 dio isplata po sudskim presudama te tu spadaju sredstva od škole koje je prihodovala od namjenskih i vlastitih sredstva. </w:t>
      </w:r>
      <w:r w:rsidR="00A6490B">
        <w:rPr>
          <w:rFonts w:ascii="Times New Roman" w:eastAsia="Times New Roman" w:hAnsi="Times New Roman" w:cs="Times New Roman"/>
          <w:sz w:val="24"/>
          <w:szCs w:val="24"/>
        </w:rPr>
        <w:t>Planiran iznos viška sredstava za 2023. godinu za program 2204-12 iznosio je 4.778,03 eura. Rebalansom je taj iznos povećan na 15.075,09 i zbrojen s viškom od projekata ukupno iznosi 30.664,70 eura što čini ukupni iznos sredstava koji je Škola prenijela iz 2022. godine. Iznos od 15.075,09 eura pokrio je isplatu po sudskim presudama, a ostatkom će Škola platiti prijevoz učenika na natjecanje te za kupnju namještaj za urede.</w:t>
      </w:r>
    </w:p>
    <w:p w:rsidR="008A3FC6" w:rsidRDefault="008A3FC6" w:rsidP="000D2842">
      <w:pPr>
        <w:rPr>
          <w:highlight w:val="lightGray"/>
        </w:rPr>
      </w:pPr>
    </w:p>
    <w:p w:rsidR="000501CE" w:rsidRDefault="000501CE" w:rsidP="000D2842">
      <w:pPr>
        <w:rPr>
          <w:highlight w:val="lightGray"/>
        </w:rPr>
      </w:pPr>
    </w:p>
    <w:p w:rsidR="008A3FC6" w:rsidRDefault="00B3180F">
      <w:pPr>
        <w:numPr>
          <w:ilvl w:val="1"/>
          <w:numId w:val="2"/>
        </w:numPr>
        <w:pBdr>
          <w:top w:val="nil"/>
          <w:left w:val="nil"/>
          <w:bottom w:val="nil"/>
          <w:right w:val="nil"/>
          <w:between w:val="nil"/>
        </w:pBdr>
        <w:spacing w:after="0"/>
        <w:ind w:righ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Višak sredstava SŠ – ERASMUS PROJEKTI</w:t>
      </w:r>
    </w:p>
    <w:p w:rsidR="008A3FC6" w:rsidRDefault="008A3FC6">
      <w:pPr>
        <w:spacing w:after="0"/>
        <w:ind w:right="-567"/>
        <w:jc w:val="both"/>
        <w:rPr>
          <w:rFonts w:ascii="Times New Roman" w:eastAsia="Times New Roman" w:hAnsi="Times New Roman" w:cs="Times New Roman"/>
          <w:b/>
          <w:sz w:val="24"/>
          <w:szCs w:val="24"/>
        </w:rPr>
      </w:pPr>
    </w:p>
    <w:p w:rsidR="008A3FC6" w:rsidRDefault="00B3180F">
      <w:pPr>
        <w:spacing w:after="0"/>
        <w:ind w:left="-426"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ERASMUS + - LUNA</w:t>
      </w:r>
    </w:p>
    <w:p w:rsidR="008A3FC6" w:rsidRDefault="008A3FC6">
      <w:pPr>
        <w:spacing w:after="0"/>
        <w:ind w:left="-426" w:right="-567"/>
        <w:jc w:val="both"/>
        <w:rPr>
          <w:rFonts w:ascii="Times New Roman" w:eastAsia="Times New Roman" w:hAnsi="Times New Roman" w:cs="Times New Roman"/>
          <w:sz w:val="24"/>
          <w:szCs w:val="24"/>
        </w:rPr>
      </w:pPr>
    </w:p>
    <w:p w:rsidR="008A3FC6" w:rsidRDefault="00B3180F">
      <w:pPr>
        <w:spacing w:after="0"/>
        <w:ind w:left="-426"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Šifra projekta: 2020-1-HR01-KA01-KA101-077274</w:t>
      </w:r>
    </w:p>
    <w:p w:rsidR="008A3FC6" w:rsidRDefault="008A3FC6">
      <w:pPr>
        <w:spacing w:after="0"/>
        <w:ind w:left="-426" w:right="-567"/>
        <w:jc w:val="both"/>
        <w:rPr>
          <w:rFonts w:ascii="Times New Roman" w:eastAsia="Times New Roman" w:hAnsi="Times New Roman" w:cs="Times New Roman"/>
          <w:sz w:val="24"/>
          <w:szCs w:val="24"/>
        </w:rPr>
      </w:pPr>
    </w:p>
    <w:p w:rsidR="008A3FC6" w:rsidRDefault="008A3FC6">
      <w:pPr>
        <w:spacing w:after="0"/>
        <w:ind w:left="-426" w:right="-567"/>
        <w:jc w:val="both"/>
        <w:rPr>
          <w:rFonts w:ascii="Times New Roman" w:eastAsia="Times New Roman" w:hAnsi="Times New Roman" w:cs="Times New Roman"/>
          <w:sz w:val="24"/>
          <w:szCs w:val="24"/>
        </w:rPr>
      </w:pPr>
    </w:p>
    <w:tbl>
      <w:tblPr>
        <w:tblStyle w:val="a3"/>
        <w:tblW w:w="69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
        <w:gridCol w:w="1401"/>
        <w:gridCol w:w="1417"/>
        <w:gridCol w:w="1544"/>
        <w:gridCol w:w="1637"/>
      </w:tblGrid>
      <w:tr w:rsidR="00D069FB" w:rsidTr="00D069FB">
        <w:trPr>
          <w:trHeight w:val="737"/>
          <w:jc w:val="center"/>
        </w:trPr>
        <w:tc>
          <w:tcPr>
            <w:tcW w:w="950" w:type="dxa"/>
            <w:tcBorders>
              <w:bottom w:val="single" w:sz="4" w:space="0" w:color="000000"/>
            </w:tcBorders>
            <w:shd w:val="clear" w:color="auto" w:fill="D9D9D9"/>
          </w:tcPr>
          <w:p w:rsidR="00D069FB" w:rsidRDefault="00D069FB" w:rsidP="00D069FB">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Razdjel</w:t>
            </w:r>
          </w:p>
        </w:tc>
        <w:tc>
          <w:tcPr>
            <w:tcW w:w="1401" w:type="dxa"/>
            <w:tcBorders>
              <w:bottom w:val="single" w:sz="4" w:space="0" w:color="000000"/>
            </w:tcBorders>
            <w:shd w:val="clear" w:color="auto" w:fill="D9D9D9"/>
          </w:tcPr>
          <w:p w:rsidR="00D069FB" w:rsidRDefault="00D069FB" w:rsidP="00D069FB">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1417" w:type="dxa"/>
            <w:shd w:val="clear" w:color="auto" w:fill="D9D9D9"/>
          </w:tcPr>
          <w:p w:rsidR="00D069FB" w:rsidRDefault="00D069FB" w:rsidP="00D069FB">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Plan 2023.</w:t>
            </w:r>
          </w:p>
        </w:tc>
        <w:tc>
          <w:tcPr>
            <w:tcW w:w="1544" w:type="dxa"/>
            <w:shd w:val="clear" w:color="auto" w:fill="D9D9D9"/>
          </w:tcPr>
          <w:p w:rsidR="00D069FB" w:rsidRDefault="00D069FB" w:rsidP="00D069FB">
            <w:pPr>
              <w:tabs>
                <w:tab w:val="left" w:pos="673"/>
              </w:tabs>
              <w:spacing w:after="120" w:line="240" w:lineRule="auto"/>
              <w:ind w:left="-147"/>
              <w:jc w:val="center"/>
              <w:rPr>
                <w:rFonts w:ascii="Times New Roman" w:eastAsia="Times New Roman" w:hAnsi="Times New Roman" w:cs="Times New Roman"/>
              </w:rPr>
            </w:pPr>
            <w:proofErr w:type="spellStart"/>
            <w:r>
              <w:rPr>
                <w:rFonts w:ascii="Times New Roman" w:eastAsia="Times New Roman" w:hAnsi="Times New Roman" w:cs="Times New Roman"/>
              </w:rPr>
              <w:t>Rebalabs</w:t>
            </w:r>
            <w:proofErr w:type="spellEnd"/>
            <w:r>
              <w:rPr>
                <w:rFonts w:ascii="Times New Roman" w:eastAsia="Times New Roman" w:hAnsi="Times New Roman" w:cs="Times New Roman"/>
              </w:rPr>
              <w:t xml:space="preserve"> 1 2023.</w:t>
            </w:r>
          </w:p>
        </w:tc>
        <w:tc>
          <w:tcPr>
            <w:tcW w:w="1637" w:type="dxa"/>
            <w:shd w:val="clear" w:color="auto" w:fill="D9D9D9"/>
          </w:tcPr>
          <w:p w:rsidR="00D069FB" w:rsidRDefault="00D069FB" w:rsidP="00D069FB">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Indeks Rebalans/Plan</w:t>
            </w:r>
          </w:p>
        </w:tc>
      </w:tr>
      <w:tr w:rsidR="00D069FB" w:rsidTr="00D069FB">
        <w:trPr>
          <w:trHeight w:val="737"/>
          <w:jc w:val="center"/>
        </w:trPr>
        <w:tc>
          <w:tcPr>
            <w:tcW w:w="950" w:type="dxa"/>
            <w:tcBorders>
              <w:bottom w:val="single" w:sz="4" w:space="0" w:color="000000"/>
            </w:tcBorders>
          </w:tcPr>
          <w:p w:rsidR="00D069FB" w:rsidRDefault="00D069FB">
            <w:pPr>
              <w:ind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w:t>
            </w:r>
          </w:p>
        </w:tc>
        <w:tc>
          <w:tcPr>
            <w:tcW w:w="1401" w:type="dxa"/>
            <w:tcBorders>
              <w:bottom w:val="single" w:sz="4" w:space="0" w:color="000000"/>
            </w:tcBorders>
          </w:tcPr>
          <w:p w:rsidR="00D069FB" w:rsidRDefault="00D069FB">
            <w:pPr>
              <w:ind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4302-90</w:t>
            </w:r>
          </w:p>
        </w:tc>
        <w:tc>
          <w:tcPr>
            <w:tcW w:w="1417" w:type="dxa"/>
          </w:tcPr>
          <w:p w:rsidR="00D069FB" w:rsidRPr="00D069FB" w:rsidRDefault="00D069FB">
            <w:pPr>
              <w:ind w:right="-142"/>
              <w:jc w:val="center"/>
              <w:rPr>
                <w:rFonts w:ascii="Times New Roman" w:eastAsia="Times New Roman" w:hAnsi="Times New Roman" w:cs="Times New Roman"/>
                <w:sz w:val="24"/>
                <w:szCs w:val="24"/>
              </w:rPr>
            </w:pPr>
            <w:r w:rsidRPr="00D069FB">
              <w:rPr>
                <w:rFonts w:ascii="Times New Roman" w:eastAsia="Times New Roman" w:hAnsi="Times New Roman" w:cs="Times New Roman"/>
                <w:sz w:val="24"/>
                <w:szCs w:val="24"/>
              </w:rPr>
              <w:t>2.654,46</w:t>
            </w:r>
          </w:p>
        </w:tc>
        <w:tc>
          <w:tcPr>
            <w:tcW w:w="1544" w:type="dxa"/>
          </w:tcPr>
          <w:p w:rsidR="00D069FB" w:rsidRDefault="00D069FB">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859,82</w:t>
            </w:r>
          </w:p>
        </w:tc>
        <w:tc>
          <w:tcPr>
            <w:tcW w:w="1637" w:type="dxa"/>
          </w:tcPr>
          <w:p w:rsidR="00D069FB" w:rsidRDefault="00D069FB">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0,33</w:t>
            </w:r>
          </w:p>
        </w:tc>
      </w:tr>
    </w:tbl>
    <w:p w:rsidR="008A3FC6" w:rsidRDefault="008A3FC6">
      <w:pPr>
        <w:spacing w:after="0"/>
        <w:ind w:left="-426" w:right="-567"/>
        <w:jc w:val="both"/>
        <w:rPr>
          <w:rFonts w:ascii="Times New Roman" w:eastAsia="Times New Roman" w:hAnsi="Times New Roman" w:cs="Times New Roman"/>
          <w:sz w:val="24"/>
          <w:szCs w:val="24"/>
        </w:rPr>
      </w:pPr>
    </w:p>
    <w:p w:rsidR="008A3FC6" w:rsidRDefault="008A3FC6">
      <w:pPr>
        <w:spacing w:after="0"/>
        <w:ind w:left="-426" w:right="-567"/>
        <w:jc w:val="both"/>
        <w:rPr>
          <w:rFonts w:ascii="Times New Roman" w:eastAsia="Times New Roman" w:hAnsi="Times New Roman" w:cs="Times New Roman"/>
          <w:sz w:val="24"/>
          <w:szCs w:val="24"/>
        </w:rPr>
      </w:pPr>
    </w:p>
    <w:p w:rsidR="008A3FC6" w:rsidRDefault="00B3180F">
      <w:pPr>
        <w:spacing w:after="0"/>
        <w:ind w:left="-426"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Hotelijersko- turistička i ugostiteljska škola je  2020. godine dobila potvrdu od Agencije za mobilnost i programe EU za provedbu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 projekta LUNA, te je isplaćen dio odobrenih sredstava u iznosu od  93.486,46kn. Projekt se provodio tokom 2021. godi</w:t>
      </w:r>
      <w:r w:rsidR="000E33D5">
        <w:rPr>
          <w:rFonts w:ascii="Times New Roman" w:eastAsia="Times New Roman" w:hAnsi="Times New Roman" w:cs="Times New Roman"/>
          <w:sz w:val="24"/>
          <w:szCs w:val="24"/>
        </w:rPr>
        <w:t>ne i 2022. godine</w:t>
      </w:r>
      <w:r>
        <w:rPr>
          <w:rFonts w:ascii="Times New Roman" w:eastAsia="Times New Roman" w:hAnsi="Times New Roman" w:cs="Times New Roman"/>
          <w:sz w:val="24"/>
          <w:szCs w:val="24"/>
        </w:rPr>
        <w:t xml:space="preserve"> te je uspješno završen u 2022. godini. Prema odobrenom završnom izvješću Škola je zaprimila i završnu isplatu od 23.275,03kn kojom će pokriti dio ostalih troškova, a dio će se prenijeti u sljedeću 2023. godinu kao pomoć u organizaciji i provođenju tekućeg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 projekta 'Različiti zajedno'. </w:t>
      </w:r>
      <w:r w:rsidR="000E33D5">
        <w:rPr>
          <w:rFonts w:ascii="Times New Roman" w:eastAsia="Times New Roman" w:hAnsi="Times New Roman" w:cs="Times New Roman"/>
          <w:sz w:val="24"/>
          <w:szCs w:val="24"/>
        </w:rPr>
        <w:t xml:space="preserve">Na početku 2023. godine on projekta je ostalo još 859,82 eura te se rebalansom plan umanjio na točan iznos sredstava koji se nalaze u financijama škole. Navedeni iznos potrošit će se na plaćanje putnih naloga za provedbu </w:t>
      </w:r>
      <w:proofErr w:type="spellStart"/>
      <w:r w:rsidR="000E33D5">
        <w:rPr>
          <w:rFonts w:ascii="Times New Roman" w:eastAsia="Times New Roman" w:hAnsi="Times New Roman" w:cs="Times New Roman"/>
          <w:sz w:val="24"/>
          <w:szCs w:val="24"/>
        </w:rPr>
        <w:t>Erasmus</w:t>
      </w:r>
      <w:proofErr w:type="spellEnd"/>
      <w:r w:rsidR="000E33D5">
        <w:rPr>
          <w:rFonts w:ascii="Times New Roman" w:eastAsia="Times New Roman" w:hAnsi="Times New Roman" w:cs="Times New Roman"/>
          <w:sz w:val="24"/>
          <w:szCs w:val="24"/>
        </w:rPr>
        <w:t xml:space="preserve"> + projekta 'Različiti zajedno'.</w:t>
      </w:r>
    </w:p>
    <w:p w:rsidR="008A3FC6" w:rsidRDefault="008A3FC6">
      <w:pPr>
        <w:spacing w:after="0"/>
        <w:ind w:left="-426" w:right="-567"/>
        <w:jc w:val="both"/>
        <w:rPr>
          <w:rFonts w:ascii="Times New Roman" w:eastAsia="Times New Roman" w:hAnsi="Times New Roman" w:cs="Times New Roman"/>
          <w:sz w:val="24"/>
          <w:szCs w:val="24"/>
        </w:rPr>
      </w:pPr>
    </w:p>
    <w:p w:rsidR="008A3FC6" w:rsidRDefault="008A3FC6">
      <w:pPr>
        <w:spacing w:after="0"/>
        <w:ind w:left="-426" w:right="-567"/>
        <w:jc w:val="both"/>
        <w:rPr>
          <w:rFonts w:ascii="Times New Roman" w:eastAsia="Times New Roman" w:hAnsi="Times New Roman" w:cs="Times New Roman"/>
          <w:sz w:val="24"/>
          <w:szCs w:val="24"/>
        </w:rPr>
      </w:pPr>
    </w:p>
    <w:p w:rsidR="003729FD" w:rsidRDefault="003729FD">
      <w:pPr>
        <w:spacing w:after="0"/>
        <w:ind w:left="-426" w:right="-567"/>
        <w:jc w:val="both"/>
        <w:rPr>
          <w:rFonts w:ascii="Times New Roman" w:eastAsia="Times New Roman" w:hAnsi="Times New Roman" w:cs="Times New Roman"/>
          <w:sz w:val="24"/>
          <w:szCs w:val="24"/>
        </w:rPr>
      </w:pPr>
    </w:p>
    <w:p w:rsidR="000501CE" w:rsidRDefault="000501CE">
      <w:pPr>
        <w:spacing w:after="0"/>
        <w:ind w:left="-426" w:right="-567"/>
        <w:jc w:val="both"/>
        <w:rPr>
          <w:rFonts w:ascii="Times New Roman" w:eastAsia="Times New Roman" w:hAnsi="Times New Roman" w:cs="Times New Roman"/>
          <w:sz w:val="24"/>
          <w:szCs w:val="24"/>
        </w:rPr>
      </w:pPr>
    </w:p>
    <w:p w:rsidR="003729FD" w:rsidRDefault="003729FD">
      <w:pPr>
        <w:spacing w:after="0"/>
        <w:ind w:left="-426" w:right="-567"/>
        <w:jc w:val="both"/>
        <w:rPr>
          <w:rFonts w:ascii="Times New Roman" w:eastAsia="Times New Roman" w:hAnsi="Times New Roman" w:cs="Times New Roman"/>
          <w:sz w:val="24"/>
          <w:szCs w:val="24"/>
        </w:rPr>
      </w:pPr>
    </w:p>
    <w:p w:rsidR="003729FD" w:rsidRDefault="003729FD">
      <w:pPr>
        <w:spacing w:after="0"/>
        <w:ind w:left="-426" w:right="-567"/>
        <w:jc w:val="both"/>
        <w:rPr>
          <w:rFonts w:ascii="Times New Roman" w:eastAsia="Times New Roman" w:hAnsi="Times New Roman" w:cs="Times New Roman"/>
          <w:sz w:val="24"/>
          <w:szCs w:val="24"/>
        </w:rPr>
      </w:pPr>
    </w:p>
    <w:p w:rsidR="008A3FC6" w:rsidRDefault="00B3180F">
      <w:pPr>
        <w:spacing w:after="0"/>
        <w:ind w:left="-426" w:right="-567"/>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ERASMUS + KA1 – 'RAZLIČITI ZAJEDNO'</w:t>
      </w:r>
    </w:p>
    <w:p w:rsidR="008A3FC6" w:rsidRDefault="008A3FC6">
      <w:pPr>
        <w:spacing w:after="0"/>
        <w:ind w:left="-426" w:right="-567"/>
        <w:jc w:val="both"/>
        <w:rPr>
          <w:rFonts w:ascii="Times New Roman" w:eastAsia="Times New Roman" w:hAnsi="Times New Roman" w:cs="Times New Roman"/>
          <w:sz w:val="24"/>
          <w:szCs w:val="24"/>
        </w:rPr>
      </w:pPr>
    </w:p>
    <w:p w:rsidR="008A3FC6" w:rsidRDefault="00B3180F">
      <w:pPr>
        <w:spacing w:after="0"/>
        <w:ind w:left="-426"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Šifra projekta: 2022-1-HR01-KA122-SCH-000075154</w:t>
      </w:r>
    </w:p>
    <w:p w:rsidR="008A3FC6" w:rsidRDefault="008A3FC6">
      <w:pPr>
        <w:spacing w:after="0"/>
        <w:ind w:left="-426" w:right="-567"/>
        <w:jc w:val="both"/>
        <w:rPr>
          <w:rFonts w:ascii="Times New Roman" w:eastAsia="Times New Roman" w:hAnsi="Times New Roman" w:cs="Times New Roman"/>
          <w:sz w:val="24"/>
          <w:szCs w:val="24"/>
        </w:rPr>
      </w:pPr>
    </w:p>
    <w:tbl>
      <w:tblPr>
        <w:tblStyle w:val="a4"/>
        <w:tblW w:w="69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
        <w:gridCol w:w="1401"/>
        <w:gridCol w:w="1417"/>
        <w:gridCol w:w="1544"/>
        <w:gridCol w:w="1637"/>
      </w:tblGrid>
      <w:tr w:rsidR="0008682A" w:rsidTr="0008682A">
        <w:trPr>
          <w:trHeight w:val="737"/>
          <w:jc w:val="center"/>
        </w:trPr>
        <w:tc>
          <w:tcPr>
            <w:tcW w:w="950" w:type="dxa"/>
            <w:tcBorders>
              <w:bottom w:val="single" w:sz="4" w:space="0" w:color="000000"/>
            </w:tcBorders>
            <w:shd w:val="clear" w:color="auto" w:fill="D9D9D9"/>
          </w:tcPr>
          <w:p w:rsidR="0008682A" w:rsidRDefault="0008682A" w:rsidP="0008682A">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Razdjel</w:t>
            </w:r>
          </w:p>
        </w:tc>
        <w:tc>
          <w:tcPr>
            <w:tcW w:w="1401" w:type="dxa"/>
            <w:tcBorders>
              <w:bottom w:val="single" w:sz="4" w:space="0" w:color="000000"/>
            </w:tcBorders>
            <w:shd w:val="clear" w:color="auto" w:fill="D9D9D9"/>
          </w:tcPr>
          <w:p w:rsidR="0008682A" w:rsidRDefault="0008682A" w:rsidP="0008682A">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1417" w:type="dxa"/>
            <w:shd w:val="clear" w:color="auto" w:fill="D9D9D9"/>
          </w:tcPr>
          <w:p w:rsidR="0008682A" w:rsidRDefault="0008682A" w:rsidP="0008682A">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Plan 2023.</w:t>
            </w:r>
          </w:p>
        </w:tc>
        <w:tc>
          <w:tcPr>
            <w:tcW w:w="1544" w:type="dxa"/>
            <w:shd w:val="clear" w:color="auto" w:fill="D9D9D9"/>
          </w:tcPr>
          <w:p w:rsidR="0008682A" w:rsidRDefault="0008682A" w:rsidP="0008682A">
            <w:pPr>
              <w:tabs>
                <w:tab w:val="left" w:pos="673"/>
              </w:tabs>
              <w:spacing w:after="120" w:line="240" w:lineRule="auto"/>
              <w:ind w:left="-147"/>
              <w:jc w:val="center"/>
              <w:rPr>
                <w:rFonts w:ascii="Times New Roman" w:eastAsia="Times New Roman" w:hAnsi="Times New Roman" w:cs="Times New Roman"/>
              </w:rPr>
            </w:pPr>
            <w:proofErr w:type="spellStart"/>
            <w:r>
              <w:rPr>
                <w:rFonts w:ascii="Times New Roman" w:eastAsia="Times New Roman" w:hAnsi="Times New Roman" w:cs="Times New Roman"/>
              </w:rPr>
              <w:t>Rebalabs</w:t>
            </w:r>
            <w:proofErr w:type="spellEnd"/>
            <w:r>
              <w:rPr>
                <w:rFonts w:ascii="Times New Roman" w:eastAsia="Times New Roman" w:hAnsi="Times New Roman" w:cs="Times New Roman"/>
              </w:rPr>
              <w:t xml:space="preserve"> 1 2023.</w:t>
            </w:r>
          </w:p>
        </w:tc>
        <w:tc>
          <w:tcPr>
            <w:tcW w:w="1637" w:type="dxa"/>
            <w:shd w:val="clear" w:color="auto" w:fill="D9D9D9"/>
          </w:tcPr>
          <w:p w:rsidR="0008682A" w:rsidRDefault="0008682A" w:rsidP="0008682A">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Indeks Rebalans/Plan</w:t>
            </w:r>
          </w:p>
        </w:tc>
      </w:tr>
      <w:tr w:rsidR="0008682A" w:rsidTr="0008682A">
        <w:trPr>
          <w:trHeight w:val="737"/>
          <w:jc w:val="center"/>
        </w:trPr>
        <w:tc>
          <w:tcPr>
            <w:tcW w:w="950" w:type="dxa"/>
            <w:tcBorders>
              <w:bottom w:val="single" w:sz="4" w:space="0" w:color="000000"/>
            </w:tcBorders>
          </w:tcPr>
          <w:p w:rsidR="0008682A" w:rsidRDefault="0008682A">
            <w:pPr>
              <w:ind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w:t>
            </w:r>
          </w:p>
        </w:tc>
        <w:tc>
          <w:tcPr>
            <w:tcW w:w="1401" w:type="dxa"/>
            <w:tcBorders>
              <w:bottom w:val="single" w:sz="4" w:space="0" w:color="000000"/>
            </w:tcBorders>
          </w:tcPr>
          <w:p w:rsidR="0008682A" w:rsidRDefault="0008682A">
            <w:pPr>
              <w:ind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4306-16</w:t>
            </w:r>
          </w:p>
        </w:tc>
        <w:tc>
          <w:tcPr>
            <w:tcW w:w="1417" w:type="dxa"/>
          </w:tcPr>
          <w:p w:rsidR="0008682A" w:rsidRPr="0008682A" w:rsidRDefault="0008682A">
            <w:pPr>
              <w:ind w:right="-142"/>
              <w:jc w:val="center"/>
              <w:rPr>
                <w:rFonts w:ascii="Times New Roman" w:eastAsia="Times New Roman" w:hAnsi="Times New Roman" w:cs="Times New Roman"/>
                <w:sz w:val="24"/>
                <w:szCs w:val="24"/>
              </w:rPr>
            </w:pPr>
            <w:r w:rsidRPr="0008682A">
              <w:rPr>
                <w:rFonts w:ascii="Times New Roman" w:eastAsia="Times New Roman" w:hAnsi="Times New Roman" w:cs="Times New Roman"/>
                <w:sz w:val="24"/>
                <w:szCs w:val="24"/>
              </w:rPr>
              <w:t>14.438,94</w:t>
            </w:r>
          </w:p>
        </w:tc>
        <w:tc>
          <w:tcPr>
            <w:tcW w:w="1544" w:type="dxa"/>
          </w:tcPr>
          <w:p w:rsidR="0008682A" w:rsidRPr="0008682A" w:rsidRDefault="0008682A">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14.729,79</w:t>
            </w:r>
          </w:p>
        </w:tc>
        <w:tc>
          <w:tcPr>
            <w:tcW w:w="1637" w:type="dxa"/>
          </w:tcPr>
          <w:p w:rsidR="0008682A" w:rsidRPr="0008682A" w:rsidRDefault="0008682A">
            <w:pPr>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bl>
    <w:p w:rsidR="008A3FC6" w:rsidRDefault="008A3FC6">
      <w:pPr>
        <w:spacing w:after="0"/>
        <w:ind w:left="-426" w:right="-567"/>
        <w:jc w:val="both"/>
        <w:rPr>
          <w:rFonts w:ascii="Times New Roman" w:eastAsia="Times New Roman" w:hAnsi="Times New Roman" w:cs="Times New Roman"/>
          <w:sz w:val="24"/>
          <w:szCs w:val="24"/>
        </w:rPr>
      </w:pPr>
    </w:p>
    <w:p w:rsidR="008A3FC6" w:rsidRDefault="00B3180F">
      <w:p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kolovozu 2022. godine je potpisan ugovor o dodjeli bespovratnih sredstava  za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 KA1 projekt 'Različiti zajedno' koji će se provoditi u Hotelijersko- turističkoj i ugostiteljskoj školi Zadar tokom 2022., 2023. i 2024. godine. Uplaćeno je 80% odobrenih sredstava za provedbu projekta i to u iznosu od 165.290,12kn. Planirane pozicije za 2023.godinu se odnose </w:t>
      </w:r>
      <w:r w:rsidR="00D132DC">
        <w:rPr>
          <w:rFonts w:ascii="Times New Roman" w:eastAsia="Times New Roman" w:hAnsi="Times New Roman" w:cs="Times New Roman"/>
          <w:sz w:val="24"/>
          <w:szCs w:val="24"/>
        </w:rPr>
        <w:t xml:space="preserve">na troškove službenih putovanja </w:t>
      </w:r>
      <w:r>
        <w:rPr>
          <w:rFonts w:ascii="Times New Roman" w:eastAsia="Times New Roman" w:hAnsi="Times New Roman" w:cs="Times New Roman"/>
          <w:sz w:val="24"/>
          <w:szCs w:val="24"/>
        </w:rPr>
        <w:t>te troškove kot</w:t>
      </w:r>
      <w:r w:rsidR="00D132DC">
        <w:rPr>
          <w:rFonts w:ascii="Times New Roman" w:eastAsia="Times New Roman" w:hAnsi="Times New Roman" w:cs="Times New Roman"/>
          <w:sz w:val="24"/>
          <w:szCs w:val="24"/>
        </w:rPr>
        <w:t xml:space="preserve">izacija za stručna usavršavanja. </w:t>
      </w:r>
      <w:r>
        <w:rPr>
          <w:rFonts w:ascii="Times New Roman" w:eastAsia="Times New Roman" w:hAnsi="Times New Roman" w:cs="Times New Roman"/>
          <w:sz w:val="24"/>
          <w:szCs w:val="24"/>
        </w:rPr>
        <w:t xml:space="preserve">Svrha projekta je organizirati timove za </w:t>
      </w:r>
      <w:proofErr w:type="spellStart"/>
      <w:r>
        <w:rPr>
          <w:rFonts w:ascii="Times New Roman" w:eastAsia="Times New Roman" w:hAnsi="Times New Roman" w:cs="Times New Roman"/>
          <w:sz w:val="24"/>
          <w:szCs w:val="24"/>
        </w:rPr>
        <w:t>inkluzivno</w:t>
      </w:r>
      <w:proofErr w:type="spellEnd"/>
      <w:r>
        <w:rPr>
          <w:rFonts w:ascii="Times New Roman" w:eastAsia="Times New Roman" w:hAnsi="Times New Roman" w:cs="Times New Roman"/>
          <w:sz w:val="24"/>
          <w:szCs w:val="24"/>
        </w:rPr>
        <w:t xml:space="preserve"> učenje, ojačati nastavničke kompetencije u metodologiji rada s učenicima s poteškoćama (u posebnim razrednim odjeljenjima i u redovnoj nastavi), educirati sve učenike o toleranciji, empatiji, asertivnoj komunikaciji i prihvaćanju različitosti i jedinstvenosti pojedinca. Aktivnosti se odnose na nastavničke mobilnosti i diseminaciju evaluacija. Pokazatelji uspješnosti se odnose na nastavnike koji će biti uključen</w:t>
      </w:r>
      <w:r w:rsidR="00D132DC">
        <w:rPr>
          <w:rFonts w:ascii="Times New Roman" w:eastAsia="Times New Roman" w:hAnsi="Times New Roman" w:cs="Times New Roman"/>
          <w:sz w:val="24"/>
          <w:szCs w:val="24"/>
        </w:rPr>
        <w:t>i u mobilnosti (13 nastavnika)</w:t>
      </w:r>
      <w:r>
        <w:rPr>
          <w:rFonts w:ascii="Times New Roman" w:eastAsia="Times New Roman" w:hAnsi="Times New Roman" w:cs="Times New Roman"/>
          <w:sz w:val="24"/>
          <w:szCs w:val="24"/>
        </w:rPr>
        <w:t xml:space="preserve"> te broj nastavnika koji će biti obuhvaćeni edukac</w:t>
      </w:r>
      <w:r w:rsidR="00D132DC">
        <w:rPr>
          <w:rFonts w:ascii="Times New Roman" w:eastAsia="Times New Roman" w:hAnsi="Times New Roman" w:cs="Times New Roman"/>
          <w:sz w:val="24"/>
          <w:szCs w:val="24"/>
        </w:rPr>
        <w:t>ijama putem kolegijalne podrške</w:t>
      </w:r>
      <w:r>
        <w:rPr>
          <w:rFonts w:ascii="Times New Roman" w:eastAsia="Times New Roman" w:hAnsi="Times New Roman" w:cs="Times New Roman"/>
          <w:sz w:val="24"/>
          <w:szCs w:val="24"/>
        </w:rPr>
        <w:t xml:space="preserve"> te učenici koji će također biti uključeni u projekt putem radionica.</w:t>
      </w:r>
    </w:p>
    <w:p w:rsidR="008A3FC6" w:rsidRDefault="00D132DC" w:rsidP="00825192">
      <w:p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Izvorni plan za 2023. godinu je bio 14,438,94 eura, ali je na kraju 2022. godine ostalo je malo više sredstva te je rebalansom točan iznos od 14.729,79 eura raspoređen za troškove dnevnica i kotizacija za provedbu projekta.</w:t>
      </w:r>
    </w:p>
    <w:p w:rsidR="00825192" w:rsidRDefault="00825192" w:rsidP="00825192">
      <w:pPr>
        <w:ind w:left="-426"/>
        <w:jc w:val="both"/>
        <w:rPr>
          <w:rFonts w:ascii="Times New Roman" w:eastAsia="Times New Roman" w:hAnsi="Times New Roman" w:cs="Times New Roman"/>
          <w:sz w:val="24"/>
          <w:szCs w:val="24"/>
        </w:rPr>
      </w:pPr>
    </w:p>
    <w:p w:rsidR="008A3FC6" w:rsidRDefault="00B3180F">
      <w:pPr>
        <w:numPr>
          <w:ilvl w:val="0"/>
          <w:numId w:val="2"/>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POMOĆI IZ DRŽAVNOG PRORAČUNA</w:t>
      </w:r>
    </w:p>
    <w:p w:rsidR="008A3FC6" w:rsidRDefault="008A3FC6">
      <w:pPr>
        <w:spacing w:after="0"/>
        <w:ind w:right="-567"/>
        <w:jc w:val="both"/>
        <w:rPr>
          <w:rFonts w:ascii="Times New Roman" w:eastAsia="Times New Roman" w:hAnsi="Times New Roman" w:cs="Times New Roman"/>
          <w:b/>
          <w:sz w:val="24"/>
          <w:szCs w:val="24"/>
        </w:rPr>
      </w:pPr>
    </w:p>
    <w:p w:rsidR="008A3FC6" w:rsidRDefault="00B3180F">
      <w:pPr>
        <w:spacing w:after="0"/>
        <w:ind w:left="-567"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Planirane su tekuće pomoći iz Državnog proračuna, odnosno pomoći iz Ministarstva znanosti i obrazovanja, na temelju uplata iz prethodnih godina, a za primjerice besplatne udžbenike učenicima slabijeg </w:t>
      </w:r>
      <w:proofErr w:type="spellStart"/>
      <w:r>
        <w:rPr>
          <w:rFonts w:ascii="Times New Roman" w:eastAsia="Times New Roman" w:hAnsi="Times New Roman" w:cs="Times New Roman"/>
          <w:sz w:val="24"/>
          <w:szCs w:val="24"/>
        </w:rPr>
        <w:t>socio</w:t>
      </w:r>
      <w:proofErr w:type="spellEnd"/>
      <w:r>
        <w:rPr>
          <w:rFonts w:ascii="Times New Roman" w:eastAsia="Times New Roman" w:hAnsi="Times New Roman" w:cs="Times New Roman"/>
          <w:sz w:val="24"/>
          <w:szCs w:val="24"/>
        </w:rPr>
        <w:t>-ekonomskog statusa, naknadu za prijevoz učenicima s posebnim potreba, novčana sredstva za opremanje knjižnica (lektire, stručna i nastavna literatura) i drugo. Značajno povećanje za 2023. odnosi se na trošak prijevoza učenika s posebnim potrebama jer se za školsku godinu 2022./2023. povećao broj učenika k</w:t>
      </w:r>
      <w:r w:rsidR="006F2F47">
        <w:rPr>
          <w:rFonts w:ascii="Times New Roman" w:eastAsia="Times New Roman" w:hAnsi="Times New Roman" w:cs="Times New Roman"/>
          <w:sz w:val="24"/>
          <w:szCs w:val="24"/>
        </w:rPr>
        <w:t>oji koriste navedenu uslugu</w:t>
      </w:r>
      <w:r>
        <w:rPr>
          <w:rFonts w:ascii="Times New Roman" w:eastAsia="Times New Roman" w:hAnsi="Times New Roman" w:cs="Times New Roman"/>
          <w:sz w:val="24"/>
          <w:szCs w:val="24"/>
        </w:rPr>
        <w:t xml:space="preserve"> te se povećao i trošak prijevoza ( cijena goriva). </w:t>
      </w:r>
    </w:p>
    <w:p w:rsidR="008A3FC6" w:rsidRDefault="008A3FC6">
      <w:pPr>
        <w:spacing w:after="0"/>
        <w:ind w:left="-567" w:right="-567"/>
        <w:jc w:val="both"/>
        <w:rPr>
          <w:rFonts w:ascii="Times New Roman" w:eastAsia="Times New Roman" w:hAnsi="Times New Roman" w:cs="Times New Roman"/>
          <w:sz w:val="24"/>
          <w:szCs w:val="24"/>
        </w:rPr>
      </w:pPr>
    </w:p>
    <w:tbl>
      <w:tblPr>
        <w:tblStyle w:val="a5"/>
        <w:tblW w:w="7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
        <w:gridCol w:w="1196"/>
        <w:gridCol w:w="1559"/>
        <w:gridCol w:w="1560"/>
        <w:gridCol w:w="1916"/>
      </w:tblGrid>
      <w:tr w:rsidR="006F2F47" w:rsidTr="006F2F47">
        <w:trPr>
          <w:trHeight w:val="795"/>
          <w:jc w:val="center"/>
        </w:trPr>
        <w:tc>
          <w:tcPr>
            <w:tcW w:w="926" w:type="dxa"/>
            <w:tcBorders>
              <w:bottom w:val="single" w:sz="4" w:space="0" w:color="000000"/>
            </w:tcBorders>
            <w:shd w:val="clear" w:color="auto" w:fill="D9D9D9"/>
          </w:tcPr>
          <w:p w:rsidR="006F2F47" w:rsidRDefault="006F2F47" w:rsidP="006F2F47">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Razdjel</w:t>
            </w:r>
          </w:p>
        </w:tc>
        <w:tc>
          <w:tcPr>
            <w:tcW w:w="1196" w:type="dxa"/>
            <w:tcBorders>
              <w:bottom w:val="single" w:sz="4" w:space="0" w:color="000000"/>
            </w:tcBorders>
            <w:shd w:val="clear" w:color="auto" w:fill="D9D9D9"/>
          </w:tcPr>
          <w:p w:rsidR="006F2F47" w:rsidRDefault="006F2F47" w:rsidP="006F2F47">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1559" w:type="dxa"/>
            <w:shd w:val="clear" w:color="auto" w:fill="D9D9D9"/>
          </w:tcPr>
          <w:p w:rsidR="006F2F47" w:rsidRDefault="006F2F47" w:rsidP="006F2F47">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Plan 2023.</w:t>
            </w:r>
          </w:p>
        </w:tc>
        <w:tc>
          <w:tcPr>
            <w:tcW w:w="1560" w:type="dxa"/>
            <w:shd w:val="clear" w:color="auto" w:fill="D9D9D9"/>
          </w:tcPr>
          <w:p w:rsidR="006F2F47" w:rsidRDefault="006F2F47" w:rsidP="006F2F47">
            <w:pPr>
              <w:tabs>
                <w:tab w:val="left" w:pos="673"/>
              </w:tabs>
              <w:spacing w:after="120" w:line="240" w:lineRule="auto"/>
              <w:ind w:left="-147"/>
              <w:jc w:val="center"/>
              <w:rPr>
                <w:rFonts w:ascii="Times New Roman" w:eastAsia="Times New Roman" w:hAnsi="Times New Roman" w:cs="Times New Roman"/>
              </w:rPr>
            </w:pPr>
            <w:proofErr w:type="spellStart"/>
            <w:r>
              <w:rPr>
                <w:rFonts w:ascii="Times New Roman" w:eastAsia="Times New Roman" w:hAnsi="Times New Roman" w:cs="Times New Roman"/>
              </w:rPr>
              <w:t>Rebalabs</w:t>
            </w:r>
            <w:proofErr w:type="spellEnd"/>
            <w:r>
              <w:rPr>
                <w:rFonts w:ascii="Times New Roman" w:eastAsia="Times New Roman" w:hAnsi="Times New Roman" w:cs="Times New Roman"/>
              </w:rPr>
              <w:t xml:space="preserve"> 1 2023.</w:t>
            </w:r>
          </w:p>
        </w:tc>
        <w:tc>
          <w:tcPr>
            <w:tcW w:w="1916" w:type="dxa"/>
            <w:shd w:val="clear" w:color="auto" w:fill="D9D9D9"/>
          </w:tcPr>
          <w:p w:rsidR="006F2F47" w:rsidRDefault="006F2F47" w:rsidP="006F2F47">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Indeks Rebalans/Plan</w:t>
            </w:r>
          </w:p>
        </w:tc>
      </w:tr>
      <w:tr w:rsidR="006F2F47" w:rsidTr="006F2F47">
        <w:trPr>
          <w:trHeight w:val="795"/>
          <w:jc w:val="center"/>
        </w:trPr>
        <w:tc>
          <w:tcPr>
            <w:tcW w:w="926" w:type="dxa"/>
            <w:tcBorders>
              <w:bottom w:val="single" w:sz="4" w:space="0" w:color="000000"/>
            </w:tcBorders>
          </w:tcPr>
          <w:p w:rsidR="006F2F47" w:rsidRDefault="006F2F47">
            <w:pPr>
              <w:spacing w:after="0"/>
              <w:ind w:left="-680" w:right="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w:t>
            </w:r>
          </w:p>
        </w:tc>
        <w:tc>
          <w:tcPr>
            <w:tcW w:w="1196" w:type="dxa"/>
            <w:tcBorders>
              <w:bottom w:val="single" w:sz="4" w:space="0" w:color="000000"/>
            </w:tcBorders>
          </w:tcPr>
          <w:p w:rsidR="006F2F47" w:rsidRDefault="006F2F47">
            <w:pPr>
              <w:spacing w:after="0"/>
              <w:ind w:left="-680" w:right="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2205-12</w:t>
            </w:r>
          </w:p>
        </w:tc>
        <w:tc>
          <w:tcPr>
            <w:tcW w:w="1559" w:type="dxa"/>
          </w:tcPr>
          <w:p w:rsidR="006F2F47" w:rsidRPr="006F2F47" w:rsidRDefault="006F2F47">
            <w:pPr>
              <w:spacing w:after="0"/>
              <w:ind w:left="-680" w:right="77"/>
              <w:jc w:val="right"/>
              <w:rPr>
                <w:rFonts w:ascii="Times New Roman" w:eastAsia="Times New Roman" w:hAnsi="Times New Roman" w:cs="Times New Roman"/>
                <w:sz w:val="24"/>
                <w:szCs w:val="24"/>
              </w:rPr>
            </w:pPr>
            <w:r w:rsidRPr="006F2F47">
              <w:rPr>
                <w:rFonts w:ascii="Times New Roman" w:eastAsia="Times New Roman" w:hAnsi="Times New Roman" w:cs="Times New Roman"/>
                <w:sz w:val="24"/>
                <w:szCs w:val="24"/>
              </w:rPr>
              <w:t>16.988,53</w:t>
            </w:r>
          </w:p>
        </w:tc>
        <w:tc>
          <w:tcPr>
            <w:tcW w:w="1560" w:type="dxa"/>
          </w:tcPr>
          <w:p w:rsidR="006F2F47" w:rsidRDefault="006F2F47">
            <w:pPr>
              <w:spacing w:after="0"/>
              <w:ind w:left="-680" w:right="7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40.161.40</w:t>
            </w:r>
          </w:p>
        </w:tc>
        <w:tc>
          <w:tcPr>
            <w:tcW w:w="1916" w:type="dxa"/>
          </w:tcPr>
          <w:p w:rsidR="006F2F47" w:rsidRDefault="006F2F47">
            <w:pPr>
              <w:spacing w:after="0"/>
              <w:ind w:left="-680" w:right="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r>
    </w:tbl>
    <w:p w:rsidR="006F2F47" w:rsidRDefault="006F2F47" w:rsidP="006F2F47">
      <w:pPr>
        <w:spacing w:after="0"/>
        <w:ind w:right="-567"/>
        <w:jc w:val="both"/>
        <w:rPr>
          <w:rFonts w:ascii="Times New Roman" w:eastAsia="Times New Roman" w:hAnsi="Times New Roman" w:cs="Times New Roman"/>
          <w:b/>
          <w:sz w:val="24"/>
          <w:szCs w:val="24"/>
        </w:rPr>
      </w:pPr>
    </w:p>
    <w:p w:rsidR="008A3FC6" w:rsidRDefault="008A3FC6">
      <w:pPr>
        <w:spacing w:after="0"/>
        <w:ind w:left="-426" w:right="-567"/>
        <w:jc w:val="both"/>
        <w:rPr>
          <w:rFonts w:ascii="Times New Roman" w:eastAsia="Times New Roman" w:hAnsi="Times New Roman" w:cs="Times New Roman"/>
          <w:b/>
          <w:sz w:val="24"/>
          <w:szCs w:val="24"/>
        </w:rPr>
      </w:pPr>
    </w:p>
    <w:p w:rsidR="008A3FC6" w:rsidRDefault="006F2F47">
      <w:pPr>
        <w:spacing w:after="0"/>
        <w:ind w:left="-567"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Rebalansom su povećana sredstva za pomoći iz državnog proračuna jer su se početkom 2023. godine isplatile sudske presude za 9 zaposlenika u iznosu od 14.011,40 eura.</w:t>
      </w:r>
    </w:p>
    <w:p w:rsidR="00825192" w:rsidRDefault="00825192">
      <w:pPr>
        <w:spacing w:after="0"/>
        <w:ind w:left="-567" w:right="-567"/>
        <w:jc w:val="both"/>
        <w:rPr>
          <w:rFonts w:ascii="Times New Roman" w:eastAsia="Times New Roman" w:hAnsi="Times New Roman" w:cs="Times New Roman"/>
          <w:sz w:val="24"/>
          <w:szCs w:val="24"/>
        </w:rPr>
      </w:pPr>
    </w:p>
    <w:p w:rsidR="00825192" w:rsidRDefault="00825192" w:rsidP="00825192">
      <w:pPr>
        <w:pStyle w:val="Odlomakpopisa"/>
        <w:numPr>
          <w:ilvl w:val="0"/>
          <w:numId w:val="2"/>
        </w:numPr>
        <w:spacing w:after="0"/>
        <w:ind w:righ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DONACIJE</w:t>
      </w:r>
    </w:p>
    <w:p w:rsidR="00825192" w:rsidRDefault="00825192" w:rsidP="00825192">
      <w:pPr>
        <w:spacing w:after="0"/>
        <w:ind w:left="-426" w:right="-567"/>
        <w:jc w:val="both"/>
        <w:rPr>
          <w:rFonts w:ascii="Times New Roman" w:eastAsia="Times New Roman" w:hAnsi="Times New Roman" w:cs="Times New Roman"/>
          <w:sz w:val="24"/>
          <w:szCs w:val="24"/>
        </w:rPr>
      </w:pPr>
    </w:p>
    <w:p w:rsidR="00825192" w:rsidRDefault="00825192" w:rsidP="00825192">
      <w:pPr>
        <w:spacing w:after="0"/>
        <w:ind w:left="-426"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Kao zahvala za pomoć pri organizaciji i provedbi Tuna, </w:t>
      </w:r>
      <w:proofErr w:type="spellStart"/>
      <w:r>
        <w:rPr>
          <w:rFonts w:ascii="Times New Roman" w:eastAsia="Times New Roman" w:hAnsi="Times New Roman" w:cs="Times New Roman"/>
          <w:sz w:val="24"/>
          <w:szCs w:val="24"/>
        </w:rPr>
        <w:t>Sushi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Wine</w:t>
      </w:r>
      <w:proofErr w:type="spellEnd"/>
      <w:r>
        <w:rPr>
          <w:rFonts w:ascii="Times New Roman" w:eastAsia="Times New Roman" w:hAnsi="Times New Roman" w:cs="Times New Roman"/>
          <w:sz w:val="24"/>
          <w:szCs w:val="24"/>
        </w:rPr>
        <w:t xml:space="preserve"> Festivala od strane profesora i učenika, Škola će dobiti donacije od sudionika navedenog festivala te je rebalansom taj prihod dodan u financijski plan. Navedena sredstva potrošit će se do kraja godine na potrebe kuhinje i restorana Škole.</w:t>
      </w:r>
    </w:p>
    <w:p w:rsidR="003729FD" w:rsidRDefault="003729FD" w:rsidP="00825192">
      <w:pPr>
        <w:spacing w:after="0"/>
        <w:ind w:left="-426" w:right="-567"/>
        <w:jc w:val="both"/>
        <w:rPr>
          <w:rFonts w:ascii="Times New Roman" w:eastAsia="Times New Roman" w:hAnsi="Times New Roman" w:cs="Times New Roman"/>
          <w:b/>
          <w:color w:val="000000"/>
          <w:sz w:val="24"/>
          <w:szCs w:val="24"/>
        </w:rPr>
      </w:pPr>
    </w:p>
    <w:tbl>
      <w:tblPr>
        <w:tblStyle w:val="a5"/>
        <w:tblW w:w="7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
        <w:gridCol w:w="1196"/>
        <w:gridCol w:w="1559"/>
        <w:gridCol w:w="1560"/>
        <w:gridCol w:w="1916"/>
      </w:tblGrid>
      <w:tr w:rsidR="00825192" w:rsidTr="00FA02B3">
        <w:trPr>
          <w:trHeight w:val="795"/>
          <w:jc w:val="center"/>
        </w:trPr>
        <w:tc>
          <w:tcPr>
            <w:tcW w:w="926" w:type="dxa"/>
            <w:tcBorders>
              <w:bottom w:val="single" w:sz="4" w:space="0" w:color="000000"/>
            </w:tcBorders>
            <w:shd w:val="clear" w:color="auto" w:fill="D9D9D9"/>
          </w:tcPr>
          <w:p w:rsidR="00825192" w:rsidRDefault="00825192" w:rsidP="00FA02B3">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Razdjel</w:t>
            </w:r>
          </w:p>
        </w:tc>
        <w:tc>
          <w:tcPr>
            <w:tcW w:w="1196" w:type="dxa"/>
            <w:tcBorders>
              <w:bottom w:val="single" w:sz="4" w:space="0" w:color="000000"/>
            </w:tcBorders>
            <w:shd w:val="clear" w:color="auto" w:fill="D9D9D9"/>
          </w:tcPr>
          <w:p w:rsidR="00825192" w:rsidRDefault="00825192" w:rsidP="00FA02B3">
            <w:pPr>
              <w:ind w:left="-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1559" w:type="dxa"/>
            <w:shd w:val="clear" w:color="auto" w:fill="D9D9D9"/>
          </w:tcPr>
          <w:p w:rsidR="00825192" w:rsidRDefault="00825192" w:rsidP="00FA02B3">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Plan 2023.</w:t>
            </w:r>
          </w:p>
        </w:tc>
        <w:tc>
          <w:tcPr>
            <w:tcW w:w="1560" w:type="dxa"/>
            <w:shd w:val="clear" w:color="auto" w:fill="D9D9D9"/>
          </w:tcPr>
          <w:p w:rsidR="00825192" w:rsidRDefault="00825192" w:rsidP="00FA02B3">
            <w:pPr>
              <w:tabs>
                <w:tab w:val="left" w:pos="673"/>
              </w:tabs>
              <w:spacing w:after="120" w:line="240" w:lineRule="auto"/>
              <w:ind w:left="-147"/>
              <w:jc w:val="center"/>
              <w:rPr>
                <w:rFonts w:ascii="Times New Roman" w:eastAsia="Times New Roman" w:hAnsi="Times New Roman" w:cs="Times New Roman"/>
              </w:rPr>
            </w:pPr>
            <w:proofErr w:type="spellStart"/>
            <w:r>
              <w:rPr>
                <w:rFonts w:ascii="Times New Roman" w:eastAsia="Times New Roman" w:hAnsi="Times New Roman" w:cs="Times New Roman"/>
              </w:rPr>
              <w:t>Rebalabs</w:t>
            </w:r>
            <w:proofErr w:type="spellEnd"/>
            <w:r>
              <w:rPr>
                <w:rFonts w:ascii="Times New Roman" w:eastAsia="Times New Roman" w:hAnsi="Times New Roman" w:cs="Times New Roman"/>
              </w:rPr>
              <w:t xml:space="preserve"> 1 2023.</w:t>
            </w:r>
          </w:p>
        </w:tc>
        <w:tc>
          <w:tcPr>
            <w:tcW w:w="1916" w:type="dxa"/>
            <w:shd w:val="clear" w:color="auto" w:fill="D9D9D9"/>
          </w:tcPr>
          <w:p w:rsidR="00825192" w:rsidRDefault="00825192" w:rsidP="00FA02B3">
            <w:pPr>
              <w:tabs>
                <w:tab w:val="left" w:pos="673"/>
              </w:tabs>
              <w:spacing w:after="120" w:line="240" w:lineRule="auto"/>
              <w:ind w:left="-147"/>
              <w:jc w:val="center"/>
              <w:rPr>
                <w:rFonts w:ascii="Times New Roman" w:eastAsia="Times New Roman" w:hAnsi="Times New Roman" w:cs="Times New Roman"/>
              </w:rPr>
            </w:pPr>
            <w:r>
              <w:rPr>
                <w:rFonts w:ascii="Times New Roman" w:eastAsia="Times New Roman" w:hAnsi="Times New Roman" w:cs="Times New Roman"/>
              </w:rPr>
              <w:t>Indeks Rebalans/Plan</w:t>
            </w:r>
          </w:p>
        </w:tc>
      </w:tr>
      <w:tr w:rsidR="00825192" w:rsidTr="00FA02B3">
        <w:trPr>
          <w:trHeight w:val="795"/>
          <w:jc w:val="center"/>
        </w:trPr>
        <w:tc>
          <w:tcPr>
            <w:tcW w:w="926" w:type="dxa"/>
            <w:tcBorders>
              <w:bottom w:val="single" w:sz="4" w:space="0" w:color="000000"/>
            </w:tcBorders>
          </w:tcPr>
          <w:p w:rsidR="00825192" w:rsidRDefault="00825192" w:rsidP="00FA02B3">
            <w:pPr>
              <w:spacing w:after="0"/>
              <w:ind w:left="-680" w:right="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w:t>
            </w:r>
          </w:p>
        </w:tc>
        <w:tc>
          <w:tcPr>
            <w:tcW w:w="1196" w:type="dxa"/>
            <w:tcBorders>
              <w:bottom w:val="single" w:sz="4" w:space="0" w:color="000000"/>
            </w:tcBorders>
          </w:tcPr>
          <w:p w:rsidR="00825192" w:rsidRDefault="00825192" w:rsidP="00FA02B3">
            <w:pPr>
              <w:spacing w:after="0"/>
              <w:ind w:left="-680" w:right="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2205-12</w:t>
            </w:r>
          </w:p>
        </w:tc>
        <w:tc>
          <w:tcPr>
            <w:tcW w:w="1559" w:type="dxa"/>
          </w:tcPr>
          <w:p w:rsidR="00825192" w:rsidRPr="006F2F47" w:rsidRDefault="00825192" w:rsidP="00FA02B3">
            <w:pPr>
              <w:spacing w:after="0"/>
              <w:ind w:left="-680" w:right="77"/>
              <w:jc w:val="right"/>
              <w:rPr>
                <w:rFonts w:ascii="Times New Roman" w:eastAsia="Times New Roman" w:hAnsi="Times New Roman" w:cs="Times New Roman"/>
                <w:sz w:val="24"/>
                <w:szCs w:val="24"/>
              </w:rPr>
            </w:pPr>
          </w:p>
        </w:tc>
        <w:tc>
          <w:tcPr>
            <w:tcW w:w="1560" w:type="dxa"/>
          </w:tcPr>
          <w:p w:rsidR="00825192" w:rsidRDefault="00825192" w:rsidP="00FA02B3">
            <w:pPr>
              <w:spacing w:after="0"/>
              <w:ind w:left="-680" w:right="7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4.000,00</w:t>
            </w:r>
          </w:p>
        </w:tc>
        <w:tc>
          <w:tcPr>
            <w:tcW w:w="1916" w:type="dxa"/>
          </w:tcPr>
          <w:p w:rsidR="00825192" w:rsidRDefault="00825192" w:rsidP="00FA02B3">
            <w:pPr>
              <w:spacing w:after="0"/>
              <w:ind w:left="-680" w:right="77"/>
              <w:jc w:val="center"/>
              <w:rPr>
                <w:rFonts w:ascii="Times New Roman" w:eastAsia="Times New Roman" w:hAnsi="Times New Roman" w:cs="Times New Roman"/>
                <w:sz w:val="24"/>
                <w:szCs w:val="24"/>
              </w:rPr>
            </w:pPr>
          </w:p>
        </w:tc>
      </w:tr>
    </w:tbl>
    <w:p w:rsidR="00825192" w:rsidRPr="00825192" w:rsidRDefault="00825192" w:rsidP="00825192">
      <w:pPr>
        <w:spacing w:after="0"/>
        <w:ind w:right="-567"/>
        <w:jc w:val="both"/>
        <w:rPr>
          <w:rFonts w:ascii="Times New Roman" w:eastAsia="Times New Roman" w:hAnsi="Times New Roman" w:cs="Times New Roman"/>
          <w:b/>
          <w:color w:val="000000"/>
          <w:sz w:val="24"/>
          <w:szCs w:val="24"/>
        </w:rPr>
      </w:pPr>
    </w:p>
    <w:p w:rsidR="006F2F47" w:rsidRDefault="006F2F47">
      <w:pPr>
        <w:spacing w:after="0"/>
        <w:ind w:left="-567" w:right="-567"/>
        <w:jc w:val="both"/>
        <w:rPr>
          <w:rFonts w:ascii="Times New Roman" w:eastAsia="Times New Roman" w:hAnsi="Times New Roman" w:cs="Times New Roman"/>
          <w:sz w:val="24"/>
          <w:szCs w:val="24"/>
        </w:rPr>
      </w:pPr>
    </w:p>
    <w:p w:rsidR="006F2F47" w:rsidRDefault="006F2F47" w:rsidP="006F2F47">
      <w:pPr>
        <w:spacing w:after="0"/>
        <w:ind w:left="-567"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Rebalansom sredstva su se rasporedila kao bi se podigla kvaliteta nastave na što višu razinu i to kontinuiranim kvalitetnim usavršavanjem nastavnika, sudjelovanjem na seminarima i stručnim skupovima te podizanjem materijalnih i drugih uvjeta u Školi, a sve u skladu s Planom i programom Škole i njenim mogućnostima.</w:t>
      </w:r>
    </w:p>
    <w:p w:rsidR="006F2F47" w:rsidRDefault="006F2F47" w:rsidP="006F2F47">
      <w:pPr>
        <w:spacing w:after="0"/>
        <w:ind w:left="-567"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Škola također planira i dalje sudjelovati i doprinositi daljnjem razvoju putem EU projekata te zaposlenicima i učenicima poboljšati uvjete rada i školovanja.</w:t>
      </w:r>
    </w:p>
    <w:p w:rsidR="006F2F47" w:rsidRDefault="006F2F47">
      <w:pPr>
        <w:spacing w:after="0"/>
        <w:ind w:left="-567" w:right="-567"/>
        <w:jc w:val="both"/>
        <w:rPr>
          <w:rFonts w:ascii="Times New Roman" w:eastAsia="Times New Roman" w:hAnsi="Times New Roman" w:cs="Times New Roman"/>
          <w:sz w:val="24"/>
          <w:szCs w:val="24"/>
        </w:rPr>
      </w:pPr>
    </w:p>
    <w:p w:rsidR="008A3FC6" w:rsidRDefault="00B3180F">
      <w:pPr>
        <w:spacing w:after="0"/>
        <w:ind w:left="-567"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 učenika se trudimo razviti samoinicijativnost, marljivost, odgovornost, ali i njihovu poduzetnost kroz uključivanje u razne slobodne aktivnosti, sudjelovanje u manifestacijama, natjecanja, vježbeničke praks</w:t>
      </w:r>
      <w:r w:rsidR="00A40B8D">
        <w:rPr>
          <w:rFonts w:ascii="Times New Roman" w:eastAsia="Times New Roman" w:hAnsi="Times New Roman" w:cs="Times New Roman"/>
          <w:sz w:val="24"/>
          <w:szCs w:val="24"/>
        </w:rPr>
        <w:t>e, kao i druge školske projekte</w:t>
      </w:r>
      <w:r>
        <w:rPr>
          <w:rFonts w:ascii="Times New Roman" w:eastAsia="Times New Roman" w:hAnsi="Times New Roman" w:cs="Times New Roman"/>
          <w:sz w:val="24"/>
          <w:szCs w:val="24"/>
        </w:rPr>
        <w:t xml:space="preserve"> te ih osposobiti za rad ili nastavak školovanja prema zahtjevima tržišnog gospodarstva.</w:t>
      </w:r>
    </w:p>
    <w:p w:rsidR="008A3FC6" w:rsidRDefault="008A3FC6">
      <w:pPr>
        <w:spacing w:after="0"/>
        <w:ind w:left="-567" w:right="-567"/>
        <w:jc w:val="both"/>
        <w:rPr>
          <w:rFonts w:ascii="Times New Roman" w:eastAsia="Times New Roman" w:hAnsi="Times New Roman" w:cs="Times New Roman"/>
          <w:sz w:val="24"/>
          <w:szCs w:val="24"/>
        </w:rPr>
      </w:pPr>
    </w:p>
    <w:p w:rsidR="008A3FC6" w:rsidRDefault="00B3180F">
      <w:pPr>
        <w:spacing w:after="0"/>
        <w:ind w:left="-567"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nadalje ćemo odgovorno, zakonito, namjenski, transparentno i svrhovito koristiti proračunska sredstva, kroz pravilno planiranje i kontrolu izvršavanja financijskog plana, a zbog teškog stanja u gospodarstvu nastaviti ćemo mjere racionalizacije i štednje na svim stavkama plana.</w:t>
      </w:r>
    </w:p>
    <w:p w:rsidR="008A3FC6" w:rsidRDefault="008A3FC6">
      <w:pPr>
        <w:spacing w:after="0"/>
        <w:ind w:left="-426" w:right="-567"/>
        <w:jc w:val="both"/>
        <w:rPr>
          <w:rFonts w:ascii="Times New Roman" w:eastAsia="Times New Roman" w:hAnsi="Times New Roman" w:cs="Times New Roman"/>
          <w:sz w:val="24"/>
          <w:szCs w:val="24"/>
        </w:rPr>
      </w:pPr>
    </w:p>
    <w:p w:rsidR="008A3FC6" w:rsidRDefault="008A3FC6">
      <w:pPr>
        <w:spacing w:after="0"/>
        <w:ind w:left="-426" w:right="-567"/>
        <w:jc w:val="both"/>
        <w:rPr>
          <w:rFonts w:ascii="Times New Roman" w:eastAsia="Times New Roman" w:hAnsi="Times New Roman" w:cs="Times New Roman"/>
          <w:sz w:val="24"/>
          <w:szCs w:val="24"/>
        </w:rPr>
      </w:pPr>
      <w:bookmarkStart w:id="1" w:name="_heading=h.gjdgxs" w:colFirst="0" w:colLast="0"/>
      <w:bookmarkEnd w:id="1"/>
    </w:p>
    <w:p w:rsidR="008A3FC6" w:rsidRDefault="008A3FC6">
      <w:pPr>
        <w:spacing w:after="0"/>
        <w:ind w:left="-426" w:right="-567"/>
        <w:jc w:val="right"/>
        <w:rPr>
          <w:rFonts w:ascii="Times New Roman" w:eastAsia="Times New Roman" w:hAnsi="Times New Roman" w:cs="Times New Roman"/>
          <w:b/>
          <w:sz w:val="24"/>
          <w:szCs w:val="24"/>
        </w:rPr>
      </w:pPr>
    </w:p>
    <w:p w:rsidR="008A3FC6" w:rsidRDefault="008A3FC6">
      <w:pPr>
        <w:spacing w:after="0"/>
        <w:ind w:left="7080" w:right="-567"/>
        <w:rPr>
          <w:rFonts w:ascii="Times New Roman" w:eastAsia="Times New Roman" w:hAnsi="Times New Roman" w:cs="Times New Roman"/>
          <w:sz w:val="24"/>
          <w:szCs w:val="24"/>
        </w:rPr>
      </w:pPr>
    </w:p>
    <w:p w:rsidR="008A3FC6" w:rsidRDefault="00B3180F">
      <w:pPr>
        <w:spacing w:after="0"/>
        <w:ind w:left="7080"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Ravnateljica</w:t>
      </w:r>
    </w:p>
    <w:p w:rsidR="008A3FC6" w:rsidRDefault="008A3FC6">
      <w:pPr>
        <w:spacing w:after="0"/>
        <w:ind w:left="-426" w:right="-567"/>
        <w:jc w:val="right"/>
        <w:rPr>
          <w:rFonts w:ascii="Times New Roman" w:eastAsia="Times New Roman" w:hAnsi="Times New Roman" w:cs="Times New Roman"/>
          <w:sz w:val="24"/>
          <w:szCs w:val="24"/>
        </w:rPr>
      </w:pPr>
    </w:p>
    <w:p w:rsidR="008A3FC6" w:rsidRDefault="00B3180F">
      <w:pPr>
        <w:spacing w:after="0"/>
        <w:ind w:left="-426" w:right="-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Diana Radić Škara, prof.</w:t>
      </w:r>
    </w:p>
    <w:sectPr w:rsidR="008A3FC6">
      <w:pgSz w:w="11906" w:h="16838"/>
      <w:pgMar w:top="993"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BBB"/>
    <w:multiLevelType w:val="hybridMultilevel"/>
    <w:tmpl w:val="E334DEBE"/>
    <w:lvl w:ilvl="0" w:tplc="041A000F">
      <w:start w:val="1"/>
      <w:numFmt w:val="decimal"/>
      <w:lvlText w:val="%1."/>
      <w:lvlJc w:val="left"/>
      <w:pPr>
        <w:ind w:left="153" w:hanging="360"/>
      </w:pPr>
    </w:lvl>
    <w:lvl w:ilvl="1" w:tplc="041A0019" w:tentative="1">
      <w:start w:val="1"/>
      <w:numFmt w:val="lowerLetter"/>
      <w:lvlText w:val="%2."/>
      <w:lvlJc w:val="left"/>
      <w:pPr>
        <w:ind w:left="873" w:hanging="360"/>
      </w:pPr>
    </w:lvl>
    <w:lvl w:ilvl="2" w:tplc="041A001B" w:tentative="1">
      <w:start w:val="1"/>
      <w:numFmt w:val="lowerRoman"/>
      <w:lvlText w:val="%3."/>
      <w:lvlJc w:val="right"/>
      <w:pPr>
        <w:ind w:left="1593" w:hanging="180"/>
      </w:pPr>
    </w:lvl>
    <w:lvl w:ilvl="3" w:tplc="041A000F" w:tentative="1">
      <w:start w:val="1"/>
      <w:numFmt w:val="decimal"/>
      <w:lvlText w:val="%4."/>
      <w:lvlJc w:val="left"/>
      <w:pPr>
        <w:ind w:left="2313" w:hanging="360"/>
      </w:pPr>
    </w:lvl>
    <w:lvl w:ilvl="4" w:tplc="041A0019" w:tentative="1">
      <w:start w:val="1"/>
      <w:numFmt w:val="lowerLetter"/>
      <w:lvlText w:val="%5."/>
      <w:lvlJc w:val="left"/>
      <w:pPr>
        <w:ind w:left="3033" w:hanging="360"/>
      </w:pPr>
    </w:lvl>
    <w:lvl w:ilvl="5" w:tplc="041A001B" w:tentative="1">
      <w:start w:val="1"/>
      <w:numFmt w:val="lowerRoman"/>
      <w:lvlText w:val="%6."/>
      <w:lvlJc w:val="right"/>
      <w:pPr>
        <w:ind w:left="3753" w:hanging="180"/>
      </w:pPr>
    </w:lvl>
    <w:lvl w:ilvl="6" w:tplc="041A000F" w:tentative="1">
      <w:start w:val="1"/>
      <w:numFmt w:val="decimal"/>
      <w:lvlText w:val="%7."/>
      <w:lvlJc w:val="left"/>
      <w:pPr>
        <w:ind w:left="4473" w:hanging="360"/>
      </w:pPr>
    </w:lvl>
    <w:lvl w:ilvl="7" w:tplc="041A0019" w:tentative="1">
      <w:start w:val="1"/>
      <w:numFmt w:val="lowerLetter"/>
      <w:lvlText w:val="%8."/>
      <w:lvlJc w:val="left"/>
      <w:pPr>
        <w:ind w:left="5193" w:hanging="360"/>
      </w:pPr>
    </w:lvl>
    <w:lvl w:ilvl="8" w:tplc="041A001B" w:tentative="1">
      <w:start w:val="1"/>
      <w:numFmt w:val="lowerRoman"/>
      <w:lvlText w:val="%9."/>
      <w:lvlJc w:val="right"/>
      <w:pPr>
        <w:ind w:left="5913" w:hanging="180"/>
      </w:pPr>
    </w:lvl>
  </w:abstractNum>
  <w:abstractNum w:abstractNumId="1" w15:restartNumberingAfterBreak="0">
    <w:nsid w:val="0FAC7E4A"/>
    <w:multiLevelType w:val="multilevel"/>
    <w:tmpl w:val="7088720C"/>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 w15:restartNumberingAfterBreak="0">
    <w:nsid w:val="57646ED8"/>
    <w:multiLevelType w:val="multilevel"/>
    <w:tmpl w:val="2F1218DE"/>
    <w:lvl w:ilvl="0">
      <w:start w:val="1"/>
      <w:numFmt w:val="decimal"/>
      <w:lvlText w:val="%1."/>
      <w:lvlJc w:val="left"/>
      <w:pPr>
        <w:ind w:left="-66" w:hanging="360"/>
      </w:pPr>
    </w:lvl>
    <w:lvl w:ilvl="1">
      <w:start w:val="1"/>
      <w:numFmt w:val="decimal"/>
      <w:lvlText w:val="%1.%2."/>
      <w:lvlJc w:val="left"/>
      <w:pPr>
        <w:ind w:left="-6" w:hanging="420"/>
      </w:pPr>
    </w:lvl>
    <w:lvl w:ilvl="2">
      <w:start w:val="1"/>
      <w:numFmt w:val="decimal"/>
      <w:lvlText w:val="%1.%2.%3."/>
      <w:lvlJc w:val="left"/>
      <w:pPr>
        <w:ind w:left="294" w:hanging="720"/>
      </w:pPr>
    </w:lvl>
    <w:lvl w:ilvl="3">
      <w:start w:val="1"/>
      <w:numFmt w:val="decimal"/>
      <w:lvlText w:val="%1.%2.%3.%4."/>
      <w:lvlJc w:val="left"/>
      <w:pPr>
        <w:ind w:left="294" w:hanging="720"/>
      </w:pPr>
    </w:lvl>
    <w:lvl w:ilvl="4">
      <w:start w:val="1"/>
      <w:numFmt w:val="decimal"/>
      <w:lvlText w:val="%1.%2.%3.%4.%5."/>
      <w:lvlJc w:val="left"/>
      <w:pPr>
        <w:ind w:left="654" w:hanging="1080"/>
      </w:pPr>
    </w:lvl>
    <w:lvl w:ilvl="5">
      <w:start w:val="1"/>
      <w:numFmt w:val="decimal"/>
      <w:lvlText w:val="%1.%2.%3.%4.%5.%6."/>
      <w:lvlJc w:val="left"/>
      <w:pPr>
        <w:ind w:left="654" w:hanging="1080"/>
      </w:pPr>
    </w:lvl>
    <w:lvl w:ilvl="6">
      <w:start w:val="1"/>
      <w:numFmt w:val="decimal"/>
      <w:lvlText w:val="%1.%2.%3.%4.%5.%6.%7."/>
      <w:lvlJc w:val="left"/>
      <w:pPr>
        <w:ind w:left="1014" w:hanging="1440"/>
      </w:pPr>
    </w:lvl>
    <w:lvl w:ilvl="7">
      <w:start w:val="1"/>
      <w:numFmt w:val="decimal"/>
      <w:lvlText w:val="%1.%2.%3.%4.%5.%6.%7.%8."/>
      <w:lvlJc w:val="left"/>
      <w:pPr>
        <w:ind w:left="1014" w:hanging="1440"/>
      </w:pPr>
    </w:lvl>
    <w:lvl w:ilvl="8">
      <w:start w:val="1"/>
      <w:numFmt w:val="decimal"/>
      <w:lvlText w:val="%1.%2.%3.%4.%5.%6.%7.%8.%9."/>
      <w:lvlJc w:val="left"/>
      <w:pPr>
        <w:ind w:left="1374"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C6"/>
    <w:rsid w:val="000501CE"/>
    <w:rsid w:val="0008682A"/>
    <w:rsid w:val="000D2842"/>
    <w:rsid w:val="000E33D5"/>
    <w:rsid w:val="00174BE8"/>
    <w:rsid w:val="001E38B8"/>
    <w:rsid w:val="003729FD"/>
    <w:rsid w:val="0046798B"/>
    <w:rsid w:val="00497525"/>
    <w:rsid w:val="00606F02"/>
    <w:rsid w:val="006A592F"/>
    <w:rsid w:val="006F2F47"/>
    <w:rsid w:val="00825192"/>
    <w:rsid w:val="00854F42"/>
    <w:rsid w:val="008A3FC6"/>
    <w:rsid w:val="00A40B8D"/>
    <w:rsid w:val="00A5742C"/>
    <w:rsid w:val="00A6490B"/>
    <w:rsid w:val="00A80435"/>
    <w:rsid w:val="00B179FC"/>
    <w:rsid w:val="00B3180F"/>
    <w:rsid w:val="00BE5F0F"/>
    <w:rsid w:val="00D069FB"/>
    <w:rsid w:val="00D132DC"/>
    <w:rsid w:val="00D6293E"/>
    <w:rsid w:val="00D67B5E"/>
    <w:rsid w:val="00F05D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FF56"/>
  <w15:docId w15:val="{205D9F7A-06F6-474C-A0CD-CEA5E5E9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75A"/>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link w:val="Naslov2Char"/>
    <w:uiPriority w:val="9"/>
    <w:unhideWhenUsed/>
    <w:qFormat/>
    <w:rsid w:val="005909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styleId="Hiperveza">
    <w:name w:val="Hyperlink"/>
    <w:basedOn w:val="Zadanifontodlomka"/>
    <w:uiPriority w:val="99"/>
    <w:unhideWhenUsed/>
    <w:rsid w:val="006565F9"/>
    <w:rPr>
      <w:color w:val="0563C1" w:themeColor="hyperlink"/>
      <w:u w:val="single"/>
    </w:rPr>
  </w:style>
  <w:style w:type="paragraph" w:styleId="Odlomakpopisa">
    <w:name w:val="List Paragraph"/>
    <w:basedOn w:val="Normal"/>
    <w:uiPriority w:val="34"/>
    <w:qFormat/>
    <w:rsid w:val="006565F9"/>
    <w:pPr>
      <w:ind w:left="720"/>
      <w:contextualSpacing/>
    </w:pPr>
  </w:style>
  <w:style w:type="table" w:styleId="Reetkatablice">
    <w:name w:val="Table Grid"/>
    <w:basedOn w:val="Obinatablica"/>
    <w:uiPriority w:val="39"/>
    <w:rsid w:val="00B4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1616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6165"/>
    <w:rPr>
      <w:rFonts w:ascii="Segoe UI" w:hAnsi="Segoe UI" w:cs="Segoe UI"/>
      <w:sz w:val="18"/>
      <w:szCs w:val="18"/>
    </w:rPr>
  </w:style>
  <w:style w:type="character" w:customStyle="1" w:styleId="Naslov2Char">
    <w:name w:val="Naslov 2 Char"/>
    <w:basedOn w:val="Zadanifontodlomka"/>
    <w:link w:val="Naslov2"/>
    <w:uiPriority w:val="9"/>
    <w:rsid w:val="005909FA"/>
    <w:rPr>
      <w:rFonts w:asciiTheme="majorHAnsi" w:eastAsiaTheme="majorEastAsia" w:hAnsiTheme="majorHAnsi" w:cstheme="majorBidi"/>
      <w:color w:val="2E74B5" w:themeColor="accent1" w:themeShade="BF"/>
      <w:sz w:val="26"/>
      <w:szCs w:val="26"/>
    </w:rPr>
  </w:style>
  <w:style w:type="paragraph" w:styleId="Bezproreda">
    <w:name w:val="No Spacing"/>
    <w:uiPriority w:val="1"/>
    <w:qFormat/>
    <w:rsid w:val="005909FA"/>
    <w:pPr>
      <w:spacing w:after="0" w:line="240" w:lineRule="auto"/>
    </w:p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akon.hr/cms.htm?id=211" TargetMode="External"/><Relationship Id="rId3" Type="http://schemas.openxmlformats.org/officeDocument/2006/relationships/styles" Target="styles.xml"/><Relationship Id="rId7" Type="http://schemas.openxmlformats.org/officeDocument/2006/relationships/hyperlink" Target="https://www.zakon.hr/cms.htm?id=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tus.zadar@skole.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cms.htm?id=458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Z2CKXG2ebwgC5BAgJUQLrlKL+w==">AMUW2mWHWFEXxtWHXJrJB2LHC0B8RkQ3WD6jkQ73tVSlje25GXcjGpe2HbshBafaZqTKeKUzj4A++gRj3ESER2iNW2NCE3JLsyBlBLF59wPLe3gLE15luRKQyR+27D5DIiQTxXvUqrxs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1829</Words>
  <Characters>10431</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Racunovodja</cp:lastModifiedBy>
  <cp:revision>25</cp:revision>
  <dcterms:created xsi:type="dcterms:W3CDTF">2022-10-13T09:22:00Z</dcterms:created>
  <dcterms:modified xsi:type="dcterms:W3CDTF">2023-06-07T12:42:00Z</dcterms:modified>
</cp:coreProperties>
</file>