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2828" w:hRule="atLeast"/>
        </w:trPr>
        <w:tc>
          <w:tcPr>
            <w:tcW w:type="dxa" w:w="6379"/>
            <w:tcBorders/>
          </w:tcPr>
          <w:p>
            <w:pPr>
              <w:widowControl w:val="false"/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sz w:val="20"/>
                <w:szCs w:val="20"/>
              </w:rPr>
            </w:pPr>
            <w:bookmarkStart w:id="2" w:name="_Hlk128748807"/>
            <w:r>
              <w:rPr>
                <w:rFonts w:ascii="Arial" w:hAnsi="Arial" w:cs="Arial"/>
                <w:sz w:val="20"/>
                <w:szCs w:val="20"/>
              </w:rPr>
              <w:object>
                <v:shape id="_x0000_i1025" type="#_x0000_t75" style="margin-left:0pt;margin-top:0pt;width:152.75pt;height:42.55pt;mso-position-horizontal-relative:margin;mso-position-vertical-relative:margin;visibility:visible" o:ole="" o:bordertopcolor="#000000" o:borderleftcolor="#000000" o:borderbottomcolor="#000000" o:borderrightcolor="#000000">
                  <v:imagedata r:id="rId1" o:title=""/>
                </v:shape>
                <o:OLEObject Type="Embed" ProgID="Word.Picture.8" ShapeID="_x0000_i1025" DrawAspect="Content" r:id="rId2" ObjectID="_1751351930"/>
              </w:object>
            </w:r>
          </w:p>
          <w:p>
            <w:pPr>
              <w:widowControl w:val="false"/>
              <w:autoSpaceDE w:val="false"/>
              <w:autoSpaceDN w:val="false"/>
              <w:adjustRightInd w:val="false"/>
              <w: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HOTELIJERSKO-TURISTIČKA I</w:t>
            </w:r>
          </w:p>
          <w:p>
            <w:pPr>
              <w:widowControl w:val="false"/>
              <w:tabs>
                <w:tab w:val="left" w:pos="8340"/>
              </w:tabs>
              <w:autoSpaceDE w:val="false"/>
              <w:autoSpaceDN w:val="false"/>
              <w:adjustRightInd w:val="false"/>
              <w:spacing w:line="240" w:lineRule="atLeast"/>
              <w:ind w:left="11" w:hanging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UGOSTITELJSKA ŠKOLA - ZADAR</w:t>
            </w:r>
          </w:p>
          <w:p>
            <w:pPr>
              <w:widowControl w:val="false"/>
              <w:autoSpaceDE w:val="false"/>
              <w:autoSpaceDN w:val="false"/>
              <w:adjustRightInd w:val="false"/>
              <w:spacing w:line="240" w:lineRule="atLeast"/>
              <w:ind w:left="11" w:hanging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Antuna Gustava Matoša 40, 23000 Zadar</w:t>
            </w:r>
          </w:p>
          <w:p>
            <w:pPr>
              <w:widowControl w:val="false"/>
              <w:autoSpaceDE w:val="false"/>
              <w:autoSpaceDN w:val="false"/>
              <w:adjustRightInd w:val="false"/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023 335 295 E-mail: </w:t>
            </w:r>
            <w:r>
              <w:rPr/>
              <w:fldChar w:fldCharType="begin"/>
            </w:r>
            <w:r>
              <w:rPr/>
              <w:instrText xml:space="preserve">HYPERLINK "mailto:htus@htus.htnet.hr" </w:instrText>
            </w:r>
            <w:r>
              <w:rPr/>
              <w:fldChar w:fldCharType="separate"/>
            </w:r>
            <w:r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 xml:space="preserve">htus@htus.htnet.hr</w:t>
            </w:r>
            <w:r>
              <w:rPr/>
              <w:fldChar w:fldCharType="end"/>
            </w:r>
          </w:p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KLASA: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400-02/23-01/2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URBROJ:     </w:t>
            </w:r>
            <w:r>
              <w:rPr>
                <w:rFonts w:ascii="Times New Roman" w:hAnsi="Times New Roman" w:cs="Times New Roman"/>
                <w:noProof/>
              </w:rPr>
              <w:t xml:space="preserve">2198-1-61-23-1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Zadar, </w:t>
            </w: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  <w:t xml:space="preserve">. srpnja 2023. godine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1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OBRAZLOŽENJE UZ </w:t>
      </w:r>
      <w:r>
        <w:rPr>
          <w:rFonts w:ascii="Times New Roman" w:hAnsi="Times New Roman" w:cs="Times New Roman"/>
          <w:b/>
          <w:sz w:val="28"/>
          <w:szCs w:val="28"/>
        </w:rPr>
        <w:t xml:space="preserve">POLU</w:t>
      </w:r>
      <w:r>
        <w:rPr>
          <w:rFonts w:ascii="Times New Roman" w:hAnsi="Times New Roman" w:cs="Times New Roman"/>
          <w:b/>
          <w:sz w:val="28"/>
          <w:szCs w:val="28"/>
        </w:rPr>
        <w:t xml:space="preserve">GODIŠNJI IZVJEŠTAJ O IZVR</w:t>
      </w:r>
      <w:r>
        <w:rPr>
          <w:rFonts w:ascii="Times New Roman" w:hAnsi="Times New Roman" w:cs="Times New Roman"/>
          <w:b/>
          <w:sz w:val="28"/>
          <w:szCs w:val="28"/>
        </w:rPr>
        <w:t xml:space="preserve">ŠENJU FINANCIJSKOG PLANA ZA 2023</w:t>
      </w:r>
      <w:r>
        <w:rPr>
          <w:rFonts w:ascii="Times New Roman" w:hAnsi="Times New Roman" w:cs="Times New Roman"/>
          <w:b/>
          <w:sz w:val="28"/>
          <w:szCs w:val="28"/>
        </w:rPr>
        <w:t xml:space="preserve">. GODINU</w:t>
      </w:r>
    </w:p>
    <w:p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POLU</w:t>
      </w:r>
      <w:r>
        <w:rPr>
          <w:rFonts w:ascii="Times New Roman" w:hAnsi="Times New Roman" w:cs="Times New Roman"/>
          <w:b/>
          <w:sz w:val="24"/>
          <w:szCs w:val="24"/>
        </w:rPr>
        <w:t xml:space="preserve">GODIŠNJI IZVJEŠTAJ O IZVRŠENJU </w:t>
      </w:r>
      <w:r>
        <w:rPr>
          <w:rFonts w:ascii="Times New Roman" w:hAnsi="Times New Roman" w:cs="Times New Roman"/>
          <w:b/>
          <w:sz w:val="24"/>
          <w:szCs w:val="24"/>
        </w:rPr>
        <w:t xml:space="preserve">FINANCIJSKOG PLANA</w:t>
      </w:r>
    </w:p>
    <w:p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Zakona o proračunu (NN br. 87/08, 136/12 i 15/15, 144/21) i Pravilnika o polugodišnjem i godišnjem izvještaju o izvršenju proračuna (NN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br. 24/13, 102/17, 1/20 i147/20</w:t>
      </w:r>
      <w:r>
        <w:rPr>
          <w:rFonts w:ascii="Times New Roman" w:hAnsi="Times New Roman" w:cs="Times New Roman"/>
          <w:sz w:val="24"/>
          <w:szCs w:val="24"/>
        </w:rPr>
        <w:t xml:space="preserve">) Hotelijersko – turistička i ugostiteljska škola Zadar podnosi školskom odboru izvještaj o izvršenju financijskog plana z</w:t>
      </w:r>
      <w:r>
        <w:rPr>
          <w:rFonts w:ascii="Times New Roman" w:hAnsi="Times New Roman" w:cs="Times New Roman"/>
          <w:sz w:val="24"/>
          <w:szCs w:val="24"/>
        </w:rPr>
        <w:t xml:space="preserve">a razdoblje od 1. siječnja do 30. lipnja 2023</w:t>
      </w:r>
      <w:r>
        <w:rPr>
          <w:rFonts w:ascii="Times New Roman" w:hAnsi="Times New Roman" w:cs="Times New Roman"/>
          <w:sz w:val="24"/>
          <w:szCs w:val="24"/>
        </w:rPr>
        <w:t xml:space="preserve">. godine. Obveza izrade izvještaja o izvršenju za svakog proračunskog korisnika proizlazi iz činjenice da je financijski plan (koji je dio proračuna) donesen na razini svakog korisnika i usvojen od strane njegovog upravljačkog tijela, a izvještaj o izvršenju pokazuje ostvarenje tog plana. </w:t>
      </w:r>
    </w:p>
    <w:p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 o izvršenju financijskog plana prati jesu li se i kojim iznosima ostvarile planirane pozicije prihoda, primitaka, rashoda, izdataka, viškova i manjkova unutar razdoblja. U prilogu je Izvještaj o </w:t>
      </w:r>
      <w:r>
        <w:rPr>
          <w:rFonts w:ascii="Times New Roman" w:hAnsi="Times New Roman" w:cs="Times New Roman"/>
          <w:sz w:val="24"/>
          <w:szCs w:val="24"/>
        </w:rPr>
        <w:t xml:space="preserve">polu</w:t>
      </w:r>
      <w:r>
        <w:rPr>
          <w:rFonts w:ascii="Times New Roman" w:hAnsi="Times New Roman" w:cs="Times New Roman"/>
          <w:sz w:val="24"/>
          <w:szCs w:val="24"/>
        </w:rPr>
        <w:t xml:space="preserve">godišnjem izvr</w:t>
      </w:r>
      <w:r>
        <w:rPr>
          <w:rFonts w:ascii="Times New Roman" w:hAnsi="Times New Roman" w:cs="Times New Roman"/>
          <w:sz w:val="24"/>
          <w:szCs w:val="24"/>
        </w:rPr>
        <w:t xml:space="preserve">šenju financijskog plana za 2023</w:t>
      </w:r>
      <w:r>
        <w:rPr>
          <w:rFonts w:ascii="Times New Roman" w:hAnsi="Times New Roman" w:cs="Times New Roman"/>
          <w:sz w:val="24"/>
          <w:szCs w:val="24"/>
        </w:rPr>
        <w:t xml:space="preserve">. godinu gdje se nalaze sljedeći tabelarni pregledi: Opći dio </w:t>
      </w:r>
      <w:r>
        <w:rPr>
          <w:rFonts w:ascii="Times New Roman" w:hAnsi="Times New Roman" w:cs="Times New Roman"/>
          <w:sz w:val="24"/>
          <w:szCs w:val="24"/>
        </w:rPr>
        <w:t xml:space="preserve">polu</w:t>
      </w:r>
      <w:r>
        <w:rPr>
          <w:rFonts w:ascii="Times New Roman" w:hAnsi="Times New Roman" w:cs="Times New Roman"/>
          <w:sz w:val="24"/>
          <w:szCs w:val="24"/>
        </w:rPr>
        <w:t xml:space="preserve">godišnjeg izvještaja o izvršenju financijskog plana sadrži Sažetak račun</w:t>
      </w:r>
      <w:r>
        <w:rPr>
          <w:rFonts w:ascii="Times New Roman" w:hAnsi="Times New Roman" w:cs="Times New Roman"/>
          <w:sz w:val="24"/>
          <w:szCs w:val="24"/>
        </w:rPr>
        <w:t xml:space="preserve">a prihoda i rashoda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račun financiranja koji sadrži</w:t>
      </w:r>
      <w:r>
        <w:rPr>
          <w:rFonts w:ascii="Times New Roman" w:hAnsi="Times New Roman" w:cs="Times New Roman"/>
          <w:sz w:val="24"/>
          <w:szCs w:val="24"/>
        </w:rPr>
        <w:t xml:space="preserve"> prikaz ukupno ostvarenih prihoda i primitaka te izvršenih rashoda i izdataka</w:t>
      </w:r>
      <w:r>
        <w:rPr>
          <w:rFonts w:ascii="Times New Roman" w:hAnsi="Times New Roman" w:cs="Times New Roman"/>
          <w:sz w:val="24"/>
          <w:szCs w:val="24"/>
        </w:rPr>
        <w:t xml:space="preserve"> te Posebni dio</w:t>
      </w:r>
      <w:r>
        <w:rPr>
          <w:rFonts w:ascii="Times New Roman" w:hAnsi="Times New Roman" w:cs="Times New Roman"/>
          <w:sz w:val="24"/>
          <w:szCs w:val="24"/>
        </w:rPr>
        <w:t xml:space="preserve"> koji sadrži Račun prihoda i rashoda po ekonomskoj klasifikaciji i izvorima financiranja raspoređenih u programe koji se sastoje od aktivnosti i projekata. Uspoređivan</w:t>
      </w:r>
      <w:r>
        <w:rPr>
          <w:rFonts w:ascii="Times New Roman" w:hAnsi="Times New Roman" w:cs="Times New Roman"/>
          <w:sz w:val="24"/>
          <w:szCs w:val="24"/>
        </w:rPr>
        <w:t xml:space="preserve">i su svi elementi izvršenja 2022</w:t>
      </w:r>
      <w:r>
        <w:rPr>
          <w:rFonts w:ascii="Times New Roman" w:hAnsi="Times New Roman" w:cs="Times New Roman"/>
          <w:sz w:val="24"/>
          <w:szCs w:val="24"/>
        </w:rPr>
        <w:t xml:space="preserve">. u odnosu na </w:t>
      </w:r>
      <w:r>
        <w:rPr>
          <w:rFonts w:ascii="Times New Roman" w:hAnsi="Times New Roman" w:cs="Times New Roman"/>
          <w:sz w:val="24"/>
          <w:szCs w:val="24"/>
        </w:rPr>
        <w:t xml:space="preserve">polugodišnje izvršenje 2023. te plan 2023</w:t>
      </w:r>
      <w:r>
        <w:rPr>
          <w:rFonts w:ascii="Times New Roman" w:hAnsi="Times New Roman" w:cs="Times New Roman"/>
          <w:sz w:val="24"/>
          <w:szCs w:val="24"/>
        </w:rPr>
        <w:t xml:space="preserve">. u odnosu na </w:t>
      </w:r>
      <w:r>
        <w:rPr>
          <w:rFonts w:ascii="Times New Roman" w:hAnsi="Times New Roman" w:cs="Times New Roman"/>
          <w:sz w:val="24"/>
          <w:szCs w:val="24"/>
        </w:rPr>
        <w:t xml:space="preserve">polu</w:t>
      </w:r>
      <w:r>
        <w:rPr>
          <w:rFonts w:ascii="Times New Roman" w:hAnsi="Times New Roman" w:cs="Times New Roman"/>
          <w:sz w:val="24"/>
          <w:szCs w:val="24"/>
        </w:rPr>
        <w:t xml:space="preserve">godišnje izvršenje 2023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IZVORI FINANCIRANJA</w:t>
      </w:r>
    </w:p>
    <w:p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se financira sredstvima Ministarstva znanosti, obrazovanja i športa (plaće i doprinosi na plaće, materijalna prava radnika iz Kolektivnog ugovora, naknada za nezapoš</w:t>
      </w:r>
      <w:r>
        <w:rPr>
          <w:rFonts w:ascii="Times New Roman" w:hAnsi="Times New Roman" w:cs="Times New Roman"/>
          <w:sz w:val="24"/>
          <w:szCs w:val="24"/>
        </w:rPr>
        <w:t xml:space="preserve">ljavanje osoba s </w:t>
      </w:r>
      <w:r>
        <w:rPr>
          <w:rFonts w:ascii="Times New Roman" w:hAnsi="Times New Roman" w:cs="Times New Roman"/>
          <w:sz w:val="24"/>
          <w:szCs w:val="24"/>
        </w:rPr>
        <w:t xml:space="preserve">invaliditetom), </w:t>
      </w:r>
      <w:r>
        <w:rPr>
          <w:rFonts w:ascii="Times New Roman" w:hAnsi="Times New Roman" w:cs="Times New Roman"/>
          <w:sz w:val="24"/>
          <w:szCs w:val="24"/>
        </w:rPr>
        <w:t xml:space="preserve">decentraliziranim sredstvima Zadarske županije (materijalni izdaci), kao i vlastitim sredstvima</w:t>
      </w:r>
      <w:r>
        <w:rPr>
          <w:rFonts w:ascii="Times New Roman" w:hAnsi="Times New Roman" w:cs="Times New Roman"/>
          <w:sz w:val="24"/>
          <w:szCs w:val="24"/>
        </w:rPr>
        <w:t xml:space="preserve">, donacijama</w:t>
      </w:r>
      <w:r>
        <w:rPr>
          <w:rFonts w:ascii="Times New Roman" w:hAnsi="Times New Roman" w:cs="Times New Roman"/>
          <w:sz w:val="24"/>
          <w:szCs w:val="24"/>
        </w:rPr>
        <w:t xml:space="preserve"> te sredstvima dobivenima putem EU projekata.</w:t>
      </w:r>
    </w:p>
    <w:p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PROGRAMI</w:t>
      </w:r>
    </w:p>
    <w:p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Prioritet Škole je podizanje kvalitete</w:t>
      </w:r>
      <w:r>
        <w:rPr>
          <w:rFonts w:ascii="Times New Roman" w:hAnsi="Times New Roman" w:cs="Times New Roman"/>
          <w:sz w:val="24"/>
          <w:szCs w:val="24"/>
        </w:rPr>
        <w:t xml:space="preserve"> nastave na što višu razinu i to kontinuiranim kvalitetnim usavršavanjem nastavnika, sudjelovanjem na </w:t>
      </w:r>
      <w:r>
        <w:rPr>
          <w:rFonts w:ascii="Times New Roman" w:hAnsi="Times New Roman" w:cs="Times New Roman"/>
          <w:sz w:val="24"/>
          <w:szCs w:val="24"/>
        </w:rPr>
        <w:t xml:space="preserve">seminarima i stručnim skupovima</w:t>
      </w:r>
      <w:r>
        <w:rPr>
          <w:rFonts w:ascii="Times New Roman" w:hAnsi="Times New Roman" w:cs="Times New Roman"/>
          <w:sz w:val="24"/>
          <w:szCs w:val="24"/>
        </w:rPr>
        <w:t xml:space="preserve"> te podizanjem materijalnih i drugih uvjeta u Školi, a sve u sk</w:t>
      </w:r>
      <w:r>
        <w:rPr>
          <w:rFonts w:ascii="Times New Roman" w:hAnsi="Times New Roman" w:cs="Times New Roman"/>
          <w:sz w:val="24"/>
          <w:szCs w:val="24"/>
        </w:rPr>
        <w:t xml:space="preserve">ladu s Planom i programom </w:t>
      </w:r>
      <w:r>
        <w:rPr>
          <w:rFonts w:ascii="Times New Roman" w:hAnsi="Times New Roman" w:cs="Times New Roman"/>
          <w:sz w:val="24"/>
          <w:szCs w:val="24"/>
        </w:rPr>
        <w:t xml:space="preserve">te mogućnostima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također planira i dalje sudjelovati i doprinositi dalj</w:t>
      </w:r>
      <w:r>
        <w:rPr>
          <w:rFonts w:ascii="Times New Roman" w:hAnsi="Times New Roman" w:cs="Times New Roman"/>
          <w:sz w:val="24"/>
          <w:szCs w:val="24"/>
        </w:rPr>
        <w:t xml:space="preserve">njem razvoju putem EU projekata</w:t>
      </w:r>
      <w:r>
        <w:rPr>
          <w:rFonts w:ascii="Times New Roman" w:hAnsi="Times New Roman" w:cs="Times New Roman"/>
          <w:sz w:val="24"/>
          <w:szCs w:val="24"/>
        </w:rPr>
        <w:t xml:space="preserve"> te zaposlenicima i učenicima poboljšati uvjete rada i školovanja.</w:t>
      </w:r>
    </w:p>
    <w:p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 učenika se trudi</w:t>
      </w:r>
      <w:r>
        <w:rPr>
          <w:rFonts w:ascii="Times New Roman" w:hAnsi="Times New Roman" w:cs="Times New Roman"/>
          <w:sz w:val="24"/>
          <w:szCs w:val="24"/>
        </w:rPr>
        <w:t xml:space="preserve"> razviti samoinicijativnost, marljivost, odgovornost, ali i njihovu poduzetnost kroz uključivanje u razne slobodne aktivnosti, sudjelovanje u manifestacijama, natjecanja, vježbeničke praks</w:t>
      </w:r>
      <w:r>
        <w:rPr>
          <w:rFonts w:ascii="Times New Roman" w:hAnsi="Times New Roman" w:cs="Times New Roman"/>
          <w:sz w:val="24"/>
          <w:szCs w:val="24"/>
        </w:rPr>
        <w:t xml:space="preserve">e, kao i druge školske projekte</w:t>
      </w:r>
      <w:r>
        <w:rPr>
          <w:rFonts w:ascii="Times New Roman" w:hAnsi="Times New Roman" w:cs="Times New Roman"/>
          <w:sz w:val="24"/>
          <w:szCs w:val="24"/>
        </w:rPr>
        <w:t xml:space="preserve"> te ih osposobiti za rad ili nastavak školovanja prema zahtjevima tržišnog gospodarstva.</w:t>
      </w:r>
    </w:p>
    <w:p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Razdjel: 030 Upravni odjel za obrazovanje, kulturu i šport</w:t>
      </w:r>
    </w:p>
    <w:p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Glava: 030 – 05 Srednjoškolsko obrazovanje</w:t>
      </w:r>
    </w:p>
    <w:p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DECENTRALIZIRANA SREDSTVA ZADARSKE ŽUPANIJE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Djelatnost srednjih škola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  <w:gridCol w:w="1474"/>
      </w:tblGrid>
      <w:tr>
        <w:trPr>
          <w:trHeight w:val="537" w:hRule="atLeast"/>
          <w:jc w:val="center"/>
        </w:trPr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Aktivnost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Izvršenje plana 2022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Tekući plan 2023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Izvršenje plana 2023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izvršenja 2023/2022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izvršenja 2023/plan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023</w:t>
            </w:r>
          </w:p>
        </w:tc>
      </w:tr>
      <w:tr>
        <w:trPr>
          <w:trHeight w:val="537" w:hRule="atLeast"/>
          <w:jc w:val="center"/>
        </w:trPr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2204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A2204 – 01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768.067,49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1.687.488,68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841.223,55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109,52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49,85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Opremanje poslovnih prostora</w:t>
      </w:r>
    </w:p>
    <w:tbl>
      <w:tblPr>
        <w:tblStyle w:val="Reetkatablice"/>
        <w:tblW w:w="10318" w:type="dxa"/>
        <w:jc w:val="center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  <w:gridCol w:w="1474"/>
      </w:tblGrid>
      <w:tr>
        <w:trPr>
          <w:trHeight w:val="537" w:hRule="atLeast"/>
          <w:jc w:val="center"/>
        </w:trPr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Aktivnost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Izvršenje plana 2022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Tekući plan 2023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Izvršenje plana 2023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izvršenja 2023/2022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izvršenja 2023/plan 2023</w:t>
            </w:r>
          </w:p>
        </w:tc>
      </w:tr>
      <w:tr>
        <w:trPr>
          <w:trHeight w:val="537" w:hRule="atLeast"/>
          <w:jc w:val="center"/>
        </w:trPr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2204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K2204 - 02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8.048,08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 sredstva </w:t>
      </w:r>
      <w:r>
        <w:rPr>
          <w:rFonts w:ascii="Times New Roman" w:hAnsi="Times New Roman" w:cs="Times New Roman"/>
          <w:sz w:val="24"/>
          <w:szCs w:val="24"/>
        </w:rPr>
        <w:t xml:space="preserve">namijenjena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financiranju materijalnih rashoda Škole, a koji se sastoje od troška prijevoza zaposlenika s posla i na posao, službena putovanja i usavršavanje zaposlenika, za podmirivanje troška uredskog materijala, te materijala za čišćenje i higijenu, komunalne usluge, grijanje, usluge održavanja računala, usluge i materijal za redovno investicijskog održavanje zgrade i prostorija, osiguranje, članarine i ostali rashodi i izdaci povezani s redovnim radom Škole.</w:t>
      </w:r>
    </w:p>
    <w:p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indeksa u odnosu na prošlu godinu dogodio se zbog ukidanja </w:t>
      </w:r>
      <w:r>
        <w:rPr>
          <w:rFonts w:ascii="Times New Roman" w:hAnsi="Times New Roman" w:cs="Times New Roman"/>
          <w:sz w:val="24"/>
          <w:szCs w:val="24"/>
        </w:rPr>
        <w:t xml:space="preserve">Covid</w:t>
      </w:r>
      <w:r>
        <w:rPr>
          <w:rFonts w:ascii="Times New Roman" w:hAnsi="Times New Roman" w:cs="Times New Roman"/>
          <w:sz w:val="24"/>
          <w:szCs w:val="24"/>
        </w:rPr>
        <w:t xml:space="preserve"> – 19 mjera zaštite što je dovelo do povećanja broja seminara i edukacija na kojima su zaposlenici regularno sudjelovali te broj službenih putovanja na natjecanja, jednodnevne izlete i maturalna putovanja.</w:t>
      </w:r>
    </w:p>
    <w:p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došlo je do povećanja naknade za prijevoz te </w:t>
      </w:r>
      <w:r>
        <w:rPr>
          <w:rFonts w:ascii="Times New Roman" w:hAnsi="Times New Roman" w:cs="Times New Roman"/>
          <w:sz w:val="24"/>
          <w:szCs w:val="24"/>
        </w:rPr>
        <w:t xml:space="preserve">t</w:t>
      </w:r>
      <w:r>
        <w:rPr>
          <w:rFonts w:ascii="Times New Roman" w:hAnsi="Times New Roman" w:cs="Times New Roman"/>
          <w:sz w:val="24"/>
          <w:szCs w:val="24"/>
        </w:rPr>
        <w:t xml:space="preserve">okom 2023. godine napravljeni su manji zahvati i popravci po školi pa su potrebe za materijalom i dijelovima za tekuće i investicijsko održavanje bili veći.</w:t>
      </w:r>
    </w:p>
    <w:p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ADMINISTRACIJA I UPRAVALJANJE</w:t>
      </w:r>
    </w:p>
    <w:tbl>
      <w:tblPr>
        <w:tblStyle w:val="Reetkatablice"/>
        <w:tblW w:w="10318" w:type="dxa"/>
        <w:jc w:val="center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  <w:gridCol w:w="1474"/>
      </w:tblGrid>
      <w:tr>
        <w:trPr>
          <w:trHeight w:val="537" w:hRule="atLeast"/>
          <w:jc w:val="center"/>
        </w:trPr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Aktivnost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Izvršenje plana 2022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Tekući plan 2023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Izvršenje plana 2023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izvršenja 2023/2022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izvršenja 2023/plan 2023</w:t>
            </w:r>
          </w:p>
        </w:tc>
      </w:tr>
      <w:tr>
        <w:trPr>
          <w:trHeight w:val="537" w:hRule="atLeast"/>
          <w:jc w:val="center"/>
        </w:trPr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2204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A2204 – 07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565.903,34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1.240.000,00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621.372,83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109,80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50,11</w:t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programom Administracija i upravljanje nalaze se sredstva za podmirenje rashode plaća zaposlenika Škole, doprinosi iz plaće, rashodi za materijalna prava koja zaposlenici imaju prema Kolektivnom ugovoru te naknada za nezapošljavanje osoba s invaliditetom. </w:t>
      </w:r>
      <w:r>
        <w:rPr>
          <w:rFonts w:ascii="Times New Roman" w:hAnsi="Times New Roman" w:cs="Times New Roman"/>
          <w:sz w:val="24"/>
          <w:szCs w:val="24"/>
        </w:rPr>
        <w:t xml:space="preserve">Povećanje indeksa </w:t>
      </w:r>
      <w:r>
        <w:rPr>
          <w:rFonts w:ascii="Times New Roman" w:hAnsi="Times New Roman" w:cs="Times New Roman"/>
          <w:sz w:val="24"/>
          <w:szCs w:val="24"/>
        </w:rPr>
        <w:t xml:space="preserve">u odnosu na prošlu godinu zbog povećanja osnovice plaća za 6% od 1. listopada 2022. godine te zbog većeg iznosa regresa. Također je u ovoj godini veći broj djelatnika ostvario pravo na jubilarnu nagradu.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PODIZANJE KVALITETE I STANDARDA U ŠKOLSTVU</w:t>
      </w:r>
    </w:p>
    <w:tbl>
      <w:tblPr>
        <w:tblStyle w:val="Reetkatablice"/>
        <w:tblW w:w="10318" w:type="dxa"/>
        <w:jc w:val="center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  <w:gridCol w:w="1474"/>
      </w:tblGrid>
      <w:tr>
        <w:trPr>
          <w:trHeight w:val="537" w:hRule="atLeast"/>
          <w:jc w:val="center"/>
        </w:trPr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Aktivnost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Izvršenje plana 2022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Tekući plan 2023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Izvršenje plana 2023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izvršenja 2023/2022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izvršenja 2023/plan 2023</w:t>
            </w:r>
          </w:p>
        </w:tc>
      </w:tr>
      <w:tr>
        <w:trPr>
          <w:trHeight w:val="537" w:hRule="atLeast"/>
          <w:jc w:val="center"/>
        </w:trPr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2205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A2205 – 01</w:t>
            </w:r>
          </w:p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A2205 – 12</w:t>
            </w:r>
          </w:p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A2205 – 13</w:t>
            </w:r>
          </w:p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A2205 – 22</w:t>
            </w:r>
          </w:p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A2205 – 34</w:t>
            </w:r>
          </w:p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A2205 – 37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7.304,87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68.684,18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44.165,70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604,61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64,30</w:t>
            </w:r>
          </w:p>
        </w:tc>
      </w:tr>
    </w:tbl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program Podizanje kvalitete i standarda u školstvu spadaju sredstva za podmirenje rashoda javnih potreba </w:t>
      </w:r>
      <w:r>
        <w:rPr>
          <w:rFonts w:ascii="Times New Roman" w:hAnsi="Times New Roman" w:cs="Times New Roman"/>
          <w:sz w:val="24"/>
          <w:szCs w:val="24"/>
        </w:rPr>
        <w:t xml:space="preserve">(e-tehničar</w:t>
      </w:r>
      <w:r>
        <w:rPr>
          <w:rFonts w:ascii="Times New Roman" w:hAnsi="Times New Roman" w:cs="Times New Roman"/>
          <w:sz w:val="24"/>
          <w:szCs w:val="24"/>
        </w:rPr>
        <w:t xml:space="preserve">, knjige za čitateljski klub…)</w:t>
      </w:r>
      <w:r>
        <w:rPr>
          <w:rFonts w:ascii="Times New Roman" w:hAnsi="Times New Roman" w:cs="Times New Roman"/>
          <w:sz w:val="24"/>
          <w:szCs w:val="24"/>
        </w:rPr>
        <w:t xml:space="preserve">, sitan inventar, uredski namještaj i računalna oprema, troškovi sudskih sporova zbog neisplaćenog dijela osnovice z</w:t>
      </w:r>
      <w:r>
        <w:rPr>
          <w:rFonts w:ascii="Times New Roman" w:hAnsi="Times New Roman" w:cs="Times New Roman"/>
          <w:sz w:val="24"/>
          <w:szCs w:val="24"/>
        </w:rPr>
        <w:t xml:space="preserve">a izračun plaće u iznosu od 6%</w:t>
      </w:r>
      <w:r>
        <w:rPr>
          <w:rFonts w:ascii="Times New Roman" w:hAnsi="Times New Roman" w:cs="Times New Roman"/>
          <w:sz w:val="24"/>
          <w:szCs w:val="24"/>
        </w:rPr>
        <w:t xml:space="preserve">, knjige za deficitarna zanimanja.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Planirane su tekuće pomoći iz Državnog proračuna, odnosno pomoći iz Ministarstva znanosti i obrazovanja, na temelju uplata iz prethodnih godina, a za primjerice besplatne udžbenike učenicima slabijeg </w:t>
      </w:r>
      <w:r>
        <w:rPr>
          <w:rFonts w:ascii="Times New Roman" w:hAnsi="Times New Roman" w:cs="Times New Roman"/>
          <w:sz w:val="24"/>
          <w:szCs w:val="24"/>
        </w:rPr>
        <w:t xml:space="preserve">socio</w:t>
      </w:r>
      <w:r>
        <w:rPr>
          <w:rFonts w:ascii="Times New Roman" w:hAnsi="Times New Roman" w:cs="Times New Roman"/>
          <w:sz w:val="24"/>
          <w:szCs w:val="24"/>
        </w:rPr>
        <w:t xml:space="preserve">-ekonomskog statusa, naknadu za prijevoz učenicima s posebnim potreba, novčana sredstva za opremanje knjižnica (lektire, stručna i nastavna literatura) i drugo.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Indeks se uvelike povećao zbog </w:t>
      </w:r>
      <w:r>
        <w:rPr>
          <w:rFonts w:ascii="Times New Roman" w:hAnsi="Times New Roman" w:cs="Times New Roman"/>
          <w:sz w:val="24"/>
          <w:szCs w:val="24"/>
        </w:rPr>
        <w:t xml:space="preserve">povećanja troška prijevoza </w:t>
      </w:r>
      <w:r>
        <w:rPr>
          <w:rFonts w:ascii="Times New Roman" w:hAnsi="Times New Roman" w:cs="Times New Roman"/>
          <w:sz w:val="24"/>
          <w:szCs w:val="24"/>
        </w:rPr>
        <w:t xml:space="preserve">učenika s posebnim potrebama jer se povećao broj učenika koji koriste navedenu </w:t>
      </w:r>
      <w:r>
        <w:rPr>
          <w:rFonts w:ascii="Times New Roman" w:hAnsi="Times New Roman" w:cs="Times New Roman"/>
          <w:sz w:val="24"/>
          <w:szCs w:val="24"/>
        </w:rPr>
        <w:t xml:space="preserve">uslugu</w:t>
      </w:r>
      <w:r>
        <w:rPr>
          <w:rFonts w:ascii="Times New Roman" w:hAnsi="Times New Roman" w:cs="Times New Roman"/>
          <w:sz w:val="24"/>
          <w:szCs w:val="24"/>
        </w:rPr>
        <w:t xml:space="preserve">, trošak prijevoza (</w:t>
      </w:r>
      <w:r>
        <w:rPr>
          <w:rFonts w:ascii="Times New Roman" w:hAnsi="Times New Roman" w:cs="Times New Roman"/>
          <w:sz w:val="24"/>
          <w:szCs w:val="24"/>
        </w:rPr>
        <w:t xml:space="preserve">cijena goriva) te troškovi zbog isplate sudskih presuda za 12 djelatnika zbog nepovećanja osnovice od 6%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PROJEKT POMOĆNICI U NASTAVI</w:t>
      </w:r>
    </w:p>
    <w:tbl>
      <w:tblPr>
        <w:tblStyle w:val="Reetkatablice"/>
        <w:tblW w:w="10318" w:type="dxa"/>
        <w:jc w:val="center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  <w:gridCol w:w="1474"/>
      </w:tblGrid>
      <w:tr>
        <w:trPr>
          <w:trHeight w:val="537" w:hRule="atLeast"/>
          <w:jc w:val="center"/>
        </w:trPr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Aktivnost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Izvršenje plana 2022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Tekući plan 2023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Izvršenje plana 2023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izvršenja 2023/2022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izvršenja 2023/plan 2023</w:t>
            </w:r>
          </w:p>
        </w:tc>
      </w:tr>
      <w:tr>
        <w:trPr>
          <w:trHeight w:val="537" w:hRule="atLeast"/>
          <w:jc w:val="center"/>
        </w:trPr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4301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T4301-67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8.159,61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1.249,64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1.347,58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16,52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107,84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INKLUZIJA – KORAK BLIŽE DRUŠTVU BEZ PREPREKA</w:t>
      </w:r>
    </w:p>
    <w:tbl>
      <w:tblPr>
        <w:tblStyle w:val="Reetkatablice"/>
        <w:tblW w:w="10318" w:type="dxa"/>
        <w:jc w:val="center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  <w:gridCol w:w="1474"/>
      </w:tblGrid>
      <w:tr>
        <w:trPr>
          <w:trHeight w:val="537" w:hRule="atLeast"/>
          <w:jc w:val="center"/>
        </w:trPr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Aktivnost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Izvršenje plana 2022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Tekući plan 2023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Izvršenje plana 2023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izvršenja 2023/2022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izvršenja 2023/plan 2023</w:t>
            </w:r>
          </w:p>
        </w:tc>
      </w:tr>
      <w:tr>
        <w:trPr>
          <w:trHeight w:val="537" w:hRule="atLeast"/>
          <w:jc w:val="center"/>
        </w:trPr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4306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T4306-03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1.702,97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16.156,78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14.278,02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838,42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88,37</w:t>
            </w:r>
          </w:p>
        </w:tc>
      </w:tr>
    </w:tbl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</w:t>
      </w:r>
      <w:r>
        <w:rPr>
          <w:rFonts w:ascii="Times New Roman" w:hAnsi="Times New Roman" w:cs="Times New Roman"/>
          <w:sz w:val="24"/>
          <w:szCs w:val="24"/>
        </w:rPr>
        <w:t xml:space="preserve">ekt Pomoćnici u nastavi cilj je pružanje potpore</w:t>
      </w:r>
      <w:r>
        <w:rPr>
          <w:rFonts w:ascii="Times New Roman" w:hAnsi="Times New Roman" w:cs="Times New Roman"/>
          <w:sz w:val="24"/>
          <w:szCs w:val="24"/>
        </w:rPr>
        <w:t xml:space="preserve"> uključivanju učenika s teškoćama u razvoju u njima primjerene programe odgoja i obrazovanja u osnovnoškolskim i srednjoškolskim odgojno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obrazovnim ustanovama u cilju ostvarivanja njihove uspješnije socijalizacije te podizanja razine njihovih obrazovnih postignuća i emocionalnog funkcioniranja.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Izvornog plana nema jer je za</w:t>
      </w:r>
      <w:r>
        <w:rPr>
          <w:rFonts w:ascii="Times New Roman" w:hAnsi="Times New Roman" w:cs="Times New Roman"/>
          <w:sz w:val="24"/>
          <w:szCs w:val="24"/>
        </w:rPr>
        <w:t xml:space="preserve"> plani</w:t>
      </w:r>
      <w:r>
        <w:rPr>
          <w:rFonts w:ascii="Times New Roman" w:hAnsi="Times New Roman" w:cs="Times New Roman"/>
          <w:sz w:val="24"/>
          <w:szCs w:val="24"/>
        </w:rPr>
        <w:t xml:space="preserve">ranje ovog programa zadužena </w:t>
      </w:r>
      <w:r>
        <w:rPr>
          <w:rFonts w:ascii="Times New Roman" w:hAnsi="Times New Roman" w:cs="Times New Roman"/>
          <w:sz w:val="24"/>
          <w:szCs w:val="24"/>
        </w:rPr>
        <w:t xml:space="preserve">vanjska Agencija.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Razlike u indeksima dogodile su se jer se u 2022. godini veći broj pomoćnika financiralo iz programa T4301-67, a u 2023. godini većina pomoćnika financirana je iz programa T4306-03 te je pomoćnicima u nastavi narasla neto plaća od 9. prosinca 2022. godine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PROJEKT ERASMUS+ LUNA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Šifra projekta: 2020-1-HR01-KA01-KA101-077274</w:t>
      </w:r>
    </w:p>
    <w:tbl>
      <w:tblPr>
        <w:tblStyle w:val="Reetkatablice"/>
        <w:tblW w:w="10318" w:type="dxa"/>
        <w:jc w:val="center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  <w:gridCol w:w="1474"/>
      </w:tblGrid>
      <w:tr>
        <w:trPr>
          <w:trHeight w:val="537" w:hRule="atLeast"/>
          <w:jc w:val="center"/>
        </w:trPr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Aktivnost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Izvršenje plana 2022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Tekući plan 2023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Izvršenje plana 2023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izvršenja 2023/2022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izvršenja 2023/plan 2023</w:t>
            </w:r>
          </w:p>
        </w:tc>
      </w:tr>
      <w:tr>
        <w:trPr>
          <w:trHeight w:val="537" w:hRule="atLeast"/>
          <w:jc w:val="center"/>
        </w:trPr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4302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T4302-90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6.546,78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859,82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340,44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5,2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39,59</w:t>
            </w:r>
          </w:p>
        </w:tc>
      </w:tr>
    </w:tbl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Hotelijersko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turi</w:t>
      </w:r>
      <w:r>
        <w:rPr>
          <w:rFonts w:ascii="Times New Roman" w:hAnsi="Times New Roman" w:cs="Times New Roman"/>
          <w:sz w:val="24"/>
          <w:szCs w:val="24"/>
        </w:rPr>
        <w:t xml:space="preserve">stička i ugostiteljska škola je</w:t>
      </w:r>
      <w:r>
        <w:rPr>
          <w:rFonts w:ascii="Times New Roman" w:hAnsi="Times New Roman" w:cs="Times New Roman"/>
          <w:sz w:val="24"/>
          <w:szCs w:val="24"/>
        </w:rPr>
        <w:t xml:space="preserve"> 2020. godine dobila potvrdu od Agencije za mobilnost i programe EU za provedbu </w:t>
      </w:r>
      <w:r>
        <w:rPr>
          <w:rFonts w:ascii="Times New Roman" w:hAnsi="Times New Roman" w:cs="Times New Roman"/>
          <w:sz w:val="24"/>
          <w:szCs w:val="24"/>
        </w:rPr>
        <w:t xml:space="preserve">Erasmus</w:t>
      </w:r>
      <w:r>
        <w:rPr>
          <w:rFonts w:ascii="Times New Roman" w:hAnsi="Times New Roman" w:cs="Times New Roman"/>
          <w:sz w:val="24"/>
          <w:szCs w:val="24"/>
        </w:rPr>
        <w:t xml:space="preserve"> + projekta LUNA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 je</w:t>
      </w:r>
      <w:r>
        <w:rPr>
          <w:rFonts w:ascii="Times New Roman" w:hAnsi="Times New Roman" w:cs="Times New Roman"/>
          <w:sz w:val="24"/>
          <w:szCs w:val="24"/>
        </w:rPr>
        <w:t xml:space="preserve"> uspješno završen u 2022. godini. Prema odobrenom završnom izvješću Škola je zaprimila i završnu isplatu od 23.275,03 kn kojim se pokrio dio ostalih troškova, a dio se prenio u 2023. godinu kao pomoć u organizaciji i provođenju tekućeg </w:t>
      </w:r>
      <w:r>
        <w:rPr>
          <w:rFonts w:ascii="Times New Roman" w:hAnsi="Times New Roman" w:cs="Times New Roman"/>
          <w:sz w:val="24"/>
          <w:szCs w:val="24"/>
        </w:rPr>
        <w:t xml:space="preserve">Erasmus</w:t>
      </w:r>
      <w:r>
        <w:rPr>
          <w:rFonts w:ascii="Times New Roman" w:hAnsi="Times New Roman" w:cs="Times New Roman"/>
          <w:sz w:val="24"/>
          <w:szCs w:val="24"/>
        </w:rPr>
        <w:t xml:space="preserve"> + projekta 'Različiti zajedno'.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PROJEKT ERASMUS+ RAZLIČITI ZAJEDNO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Šifra projekta: 2022-1-HR01-KA122-SCH-000075154</w:t>
      </w:r>
    </w:p>
    <w:tbl>
      <w:tblPr>
        <w:tblStyle w:val="Reetkatablice"/>
        <w:tblW w:w="10318" w:type="dxa"/>
        <w:jc w:val="center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  <w:gridCol w:w="1474"/>
      </w:tblGrid>
      <w:tr>
        <w:trPr>
          <w:trHeight w:val="537" w:hRule="atLeast"/>
          <w:jc w:val="center"/>
        </w:trPr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Aktivnost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Izvršenje plana 2022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Tekući plan 2023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Izvršenje plana 2023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izvršenja 2023/2022</w:t>
            </w:r>
          </w:p>
        </w:tc>
        <w:tc>
          <w:tcPr>
            <w:tcW w:type="dxa" w:w="1474"/>
            <w:tcBorders/>
            <w:shd w:fill="BFBFBF" w:color="auto" w:val="clear"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izvršenja 2023/plan 2023</w:t>
            </w:r>
          </w:p>
        </w:tc>
      </w:tr>
      <w:tr>
        <w:trPr>
          <w:trHeight w:val="537" w:hRule="atLeast"/>
          <w:jc w:val="center"/>
        </w:trPr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4302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T4306-16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14.729,79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14.729,79</w:t>
            </w: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type="dxa" w:w="1474"/>
            <w:tcBorders/>
            <w:vAlign w:val="center"/>
          </w:tcPr>
          <w:p>
            <w:pPr>
              <w: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</w:t>
            </w:r>
          </w:p>
        </w:tc>
      </w:tr>
    </w:tbl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kolovozu 2022. godine je potpisan ugovor o dodjeli bespovratnih sredstava  za </w:t>
      </w:r>
      <w:r>
        <w:rPr>
          <w:rFonts w:ascii="Times New Roman" w:hAnsi="Times New Roman" w:cs="Times New Roman"/>
          <w:sz w:val="24"/>
          <w:szCs w:val="24"/>
        </w:rPr>
        <w:t xml:space="preserve">Erasmus</w:t>
      </w:r>
      <w:r>
        <w:rPr>
          <w:rFonts w:ascii="Times New Roman" w:hAnsi="Times New Roman" w:cs="Times New Roman"/>
          <w:sz w:val="24"/>
          <w:szCs w:val="24"/>
        </w:rPr>
        <w:t xml:space="preserve"> + KA1 pr</w:t>
      </w:r>
      <w:r>
        <w:rPr>
          <w:rFonts w:ascii="Times New Roman" w:hAnsi="Times New Roman" w:cs="Times New Roman"/>
          <w:sz w:val="24"/>
          <w:szCs w:val="24"/>
        </w:rPr>
        <w:t xml:space="preserve">ojekt 'Različiti zajedno' koji se provodi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u Hotelijersko- turističk</w:t>
      </w:r>
      <w:r>
        <w:rPr>
          <w:rFonts w:ascii="Times New Roman" w:hAnsi="Times New Roman" w:cs="Times New Roman"/>
          <w:sz w:val="24"/>
          <w:szCs w:val="24"/>
        </w:rPr>
        <w:t xml:space="preserve">oj i ugostiteljskoj školi Zadar. Zbog povećanja cijene prijevoza, smještaja i stručnih skupova sredstva od ovog projekta su potrošena te će Škola probati pronaći način da financira još jednu mobilnost koja je ostala do završetka projekta.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RAČUN PRIHODA I RASHODA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3"/>
        <w:gridCol w:w="2047"/>
        <w:gridCol w:w="2346"/>
        <w:gridCol w:w="2346"/>
      </w:tblGrid>
      <w:tr>
        <w:trPr/>
        <w:tc>
          <w:tcPr>
            <w:tcW w:type="dxa" w:w="2323"/>
            <w:tcBorders/>
            <w:shd w:fill="BFBFBF" w:color="auto" w:val="clear"/>
          </w:tcPr>
          <w:p>
            <w:pPr>
              <w: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PRIHODI I RASHODI</w:t>
            </w:r>
          </w:p>
        </w:tc>
        <w:tc>
          <w:tcPr>
            <w:tcW w:type="dxa" w:w="2047"/>
            <w:tcBorders/>
            <w:shd w:fill="BFBFBF" w:color="auto" w:val="clear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Izvršenje plana 2022</w:t>
            </w:r>
          </w:p>
        </w:tc>
        <w:tc>
          <w:tcPr>
            <w:tcW w:type="dxa" w:w="2346"/>
            <w:tcBorders/>
            <w:shd w:fill="BFBFBF" w:color="auto" w:val="clear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Tekući financijski plan 2023</w:t>
            </w:r>
          </w:p>
        </w:tc>
        <w:tc>
          <w:tcPr>
            <w:tcW w:type="dxa" w:w="2346"/>
            <w:tcBorders/>
            <w:shd w:fill="BFBFBF" w:color="auto" w:val="clear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Ostvarenje/ izvršenje 2022</w:t>
            </w:r>
          </w:p>
        </w:tc>
      </w:tr>
      <w:tr>
        <w:trPr/>
        <w:tc>
          <w:tcPr>
            <w:tcW w:type="dxa" w:w="2323"/>
            <w:tcBorders/>
            <w:vAlign w:val="bottom"/>
          </w:tcPr>
          <w:p>
            <w:pPr>
              <w:spacing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 xml:space="preserve">6 Prihodi poslovanja</w:t>
            </w:r>
          </w:p>
        </w:tc>
        <w:tc>
          <w:tcPr>
            <w:tcW w:type="dxa" w:w="2047"/>
            <w:tcBorders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 xml:space="preserve">796.407,76</w:t>
            </w:r>
          </w:p>
        </w:tc>
        <w:tc>
          <w:tcPr>
            <w:tcW w:type="dxa" w:w="2346"/>
            <w:tcBorders/>
            <w:vAlign w:val="center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 xml:space="preserve">1.758.504,19</w:t>
            </w:r>
          </w:p>
        </w:tc>
        <w:tc>
          <w:tcPr>
            <w:tcW w:type="dxa" w:w="2346"/>
            <w:tcBorders/>
            <w:vAlign w:val="center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 xml:space="preserve">901.892,78</w:t>
            </w:r>
          </w:p>
        </w:tc>
      </w:tr>
      <w:tr>
        <w:trPr/>
        <w:tc>
          <w:tcPr>
            <w:tcW w:type="dxa" w:w="2323"/>
            <w:tcBorders/>
            <w:vAlign w:val="bottom"/>
          </w:tcPr>
          <w:p>
            <w:pPr>
              <w:spacing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 xml:space="preserve">7 Prihodi od prodaje nefinancijske imovine</w:t>
            </w:r>
          </w:p>
        </w:tc>
        <w:tc>
          <w:tcPr>
            <w:tcW w:type="dxa" w:w="2047"/>
            <w:tcBorders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type="dxa" w:w="2346"/>
            <w:tcBorders/>
            <w:vAlign w:val="center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 xml:space="preserve">0,00</w:t>
            </w:r>
          </w:p>
        </w:tc>
        <w:tc>
          <w:tcPr>
            <w:tcW w:type="dxa" w:w="2346"/>
            <w:tcBorders/>
            <w:vAlign w:val="center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 xml:space="preserve">0,00</w:t>
            </w:r>
          </w:p>
        </w:tc>
      </w:tr>
      <w:tr>
        <w:trPr/>
        <w:tc>
          <w:tcPr>
            <w:tcW w:type="dxa" w:w="2323"/>
            <w:tcBorders/>
            <w:vAlign w:val="bottom"/>
          </w:tcPr>
          <w:p>
            <w:pPr>
              <w:spacing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 xml:space="preserve">9 Preneseni višak prethodnih godina</w:t>
            </w:r>
          </w:p>
        </w:tc>
        <w:tc>
          <w:tcPr>
            <w:tcW w:type="dxa" w:w="2047"/>
            <w:tcBorders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 xml:space="preserve">13.743,05</w:t>
            </w:r>
          </w:p>
        </w:tc>
        <w:tc>
          <w:tcPr>
            <w:tcW w:type="dxa" w:w="2346"/>
            <w:tcBorders/>
            <w:vAlign w:val="center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 xml:space="preserve">30.664,70</w:t>
            </w:r>
          </w:p>
        </w:tc>
        <w:tc>
          <w:tcPr>
            <w:tcW w:type="dxa" w:w="2346"/>
            <w:tcBorders/>
            <w:vAlign w:val="center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 xml:space="preserve">29.933,95</w:t>
            </w:r>
          </w:p>
        </w:tc>
      </w:tr>
      <w:tr>
        <w:trPr/>
        <w:tc>
          <w:tcPr>
            <w:tcW w:type="dxa" w:w="2323"/>
            <w:tcBorders/>
            <w:shd w:fill="BFBFBF" w:color="auto" w:val="clear"/>
            <w:vAlign w:val="bottom"/>
          </w:tcPr>
          <w:p>
            <w:pPr>
              <w:spacing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PRIHODI UKUPNO</w:t>
            </w:r>
          </w:p>
        </w:tc>
        <w:tc>
          <w:tcPr>
            <w:tcW w:type="dxa" w:w="2047"/>
            <w:tcBorders/>
            <w:shd w:fill="BFBFBF" w:color="auto" w:val="clear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810.150,81</w:t>
            </w:r>
          </w:p>
        </w:tc>
        <w:tc>
          <w:tcPr>
            <w:tcW w:type="dxa" w:w="2346"/>
            <w:tcBorders/>
            <w:shd w:fill="BFBFBF" w:color="auto" w:val="clear"/>
            <w:vAlign w:val="bottom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1.789.168,89</w:t>
            </w:r>
          </w:p>
        </w:tc>
        <w:tc>
          <w:tcPr>
            <w:tcW w:type="dxa" w:w="2346"/>
            <w:tcBorders/>
            <w:shd w:fill="BFBFBF" w:color="auto" w:val="clear"/>
            <w:vAlign w:val="bottom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931.826,73</w:t>
            </w:r>
          </w:p>
        </w:tc>
      </w:tr>
      <w:tr>
        <w:trPr/>
        <w:tc>
          <w:tcPr>
            <w:tcW w:type="dxa" w:w="2323"/>
            <w:tcBorders/>
            <w:vAlign w:val="bottom"/>
          </w:tcPr>
          <w:p>
            <w:pPr>
              <w:spacing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 xml:space="preserve">3 Rashodi poslovanja</w:t>
            </w:r>
          </w:p>
        </w:tc>
        <w:tc>
          <w:tcPr>
            <w:tcW w:type="dxa" w:w="2047"/>
            <w:tcBorders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 xml:space="preserve">783.733,64</w:t>
            </w:r>
          </w:p>
        </w:tc>
        <w:tc>
          <w:tcPr>
            <w:tcW w:type="dxa" w:w="2346"/>
            <w:tcBorders/>
            <w:vAlign w:val="center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 xml:space="preserve">1.784.368,89</w:t>
            </w:r>
          </w:p>
        </w:tc>
        <w:tc>
          <w:tcPr>
            <w:tcW w:type="dxa" w:w="2346"/>
            <w:tcBorders/>
            <w:vAlign w:val="center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 xml:space="preserve">916.085,08</w:t>
            </w:r>
          </w:p>
        </w:tc>
      </w:tr>
      <w:tr>
        <w:trPr/>
        <w:tc>
          <w:tcPr>
            <w:tcW w:type="dxa" w:w="2323"/>
            <w:tcBorders/>
            <w:vAlign w:val="bottom"/>
          </w:tcPr>
          <w:p>
            <w:pPr>
              <w:spacing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 xml:space="preserve">Rashodi za nabavu nefinancijske imovine</w:t>
            </w:r>
          </w:p>
        </w:tc>
        <w:tc>
          <w:tcPr>
            <w:tcW w:type="dxa" w:w="2047"/>
            <w:tcBorders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 xml:space="preserve">8.048,08</w:t>
            </w:r>
          </w:p>
        </w:tc>
        <w:tc>
          <w:tcPr>
            <w:tcW w:type="dxa" w:w="2346"/>
            <w:tcBorders/>
            <w:vAlign w:val="center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 xml:space="preserve">4.800,00</w:t>
            </w:r>
          </w:p>
        </w:tc>
        <w:tc>
          <w:tcPr>
            <w:tcW w:type="dxa" w:w="2346"/>
            <w:tcBorders/>
            <w:vAlign w:val="center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>
        <w:trPr/>
        <w:tc>
          <w:tcPr>
            <w:tcW w:type="dxa" w:w="2323"/>
            <w:tcBorders/>
            <w:shd w:fill="BFBFBF" w:color="auto" w:val="clear"/>
            <w:vAlign w:val="bottom"/>
          </w:tcPr>
          <w:p>
            <w:pPr>
              <w:spacing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RASHODI UKUPNO</w:t>
            </w:r>
          </w:p>
        </w:tc>
        <w:tc>
          <w:tcPr>
            <w:tcW w:type="dxa" w:w="2047"/>
            <w:tcBorders/>
            <w:shd w:fill="BFBFBF" w:color="auto" w:val="clear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791.781,72</w:t>
            </w:r>
          </w:p>
        </w:tc>
        <w:tc>
          <w:tcPr>
            <w:tcW w:type="dxa" w:w="2346"/>
            <w:tcBorders/>
            <w:shd w:fill="BFBFBF" w:color="auto" w:val="clear"/>
            <w:vAlign w:val="bottom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1.789.168,89</w:t>
            </w:r>
          </w:p>
        </w:tc>
        <w:tc>
          <w:tcPr>
            <w:tcW w:type="dxa" w:w="2346"/>
            <w:tcBorders/>
            <w:shd w:fill="BFBFBF" w:color="auto" w:val="clear"/>
            <w:vAlign w:val="bottom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916.085,08</w:t>
            </w:r>
          </w:p>
        </w:tc>
      </w:tr>
      <w:tr>
        <w:trPr/>
        <w:tc>
          <w:tcPr>
            <w:tcW w:type="dxa" w:w="2323"/>
            <w:tcBorders/>
            <w:vAlign w:val="bottom"/>
          </w:tcPr>
          <w:p>
            <w:pPr>
              <w:spacing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Razlika – višak/ manjak</w:t>
            </w:r>
          </w:p>
        </w:tc>
        <w:tc>
          <w:tcPr>
            <w:tcW w:type="dxa" w:w="2047"/>
            <w:tcBorders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18.369,09</w:t>
            </w:r>
          </w:p>
        </w:tc>
        <w:tc>
          <w:tcPr>
            <w:tcW w:type="dxa" w:w="2346"/>
            <w:tcBorders/>
            <w:vAlign w:val="center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0,00</w:t>
            </w:r>
          </w:p>
        </w:tc>
        <w:tc>
          <w:tcPr>
            <w:tcW w:type="dxa" w:w="2346"/>
            <w:tcBorders/>
            <w:vAlign w:val="center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15.741,65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Indeks ukupnog izvršenja plana prihoda je </w:t>
      </w:r>
      <w:r>
        <w:rPr>
          <w:rFonts w:ascii="Times New Roman" w:hAnsi="Times New Roman" w:cs="Times New Roman"/>
          <w:sz w:val="24"/>
          <w:szCs w:val="24"/>
        </w:rPr>
        <w:t xml:space="preserve">51,29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, a plana rashoda </w:t>
      </w:r>
      <w:r>
        <w:rPr>
          <w:rFonts w:ascii="Times New Roman" w:hAnsi="Times New Roman" w:cs="Times New Roman"/>
          <w:sz w:val="24"/>
          <w:szCs w:val="24"/>
        </w:rPr>
        <w:t xml:space="preserve">51,34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Ravnateljica: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Diana Radić Škara, prof.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2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36EF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57023F84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74A93DDF"/>
    <w:lvl w:ilvl="0">
      <w:start w:val="1"/>
      <w:numFmt w:val="decimal"/>
      <w:suff w:val="tab"/>
      <w:lvlText w:val="%1."/>
      <w:pPr>
        <w:spacing/>
        <w:ind w:left="294" w:hanging="360"/>
      </w:pPr>
      <w:rPr/>
    </w:lvl>
    <w:lvl w:ilvl="1">
      <w:start w:val="1"/>
      <w:numFmt w:val="lowerLetter"/>
      <w:suff w:val="tab"/>
      <w:lvlText w:val="%2."/>
      <w:pPr>
        <w:spacing/>
        <w:ind w:left="1014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734" w:hanging="180"/>
      </w:pPr>
      <w:rPr/>
    </w:lvl>
    <w:lvl w:ilvl="3">
      <w:start w:val="1"/>
      <w:numFmt w:val="decimal"/>
      <w:suff w:val="tab"/>
      <w:lvlText w:val="%4."/>
      <w:pPr>
        <w:spacing/>
        <w:ind w:left="2454" w:hanging="360"/>
      </w:pPr>
      <w:rPr/>
    </w:lvl>
    <w:lvl w:ilvl="4">
      <w:start w:val="1"/>
      <w:numFmt w:val="lowerLetter"/>
      <w:suff w:val="tab"/>
      <w:lvlText w:val="%5."/>
      <w:pPr>
        <w:spacing/>
        <w:ind w:left="3174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894" w:hanging="180"/>
      </w:pPr>
      <w:rPr/>
    </w:lvl>
    <w:lvl w:ilvl="6">
      <w:start w:val="1"/>
      <w:numFmt w:val="decimal"/>
      <w:suff w:val="tab"/>
      <w:lvlText w:val="%7."/>
      <w:pPr>
        <w:spacing/>
        <w:ind w:left="4614" w:hanging="360"/>
      </w:pPr>
      <w:rPr/>
    </w:lvl>
    <w:lvl w:ilvl="7">
      <w:start w:val="1"/>
      <w:numFmt w:val="lowerLetter"/>
      <w:suff w:val="tab"/>
      <w:lvlText w:val="%8."/>
      <w:pPr>
        <w:spacing/>
        <w:ind w:left="5334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054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2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1" Type="http://schemas.openxmlformats.org/officeDocument/2006/relationships/image" Target="media/image1.wmf" /><Relationship Id="rId3" Type="http://schemas.openxmlformats.org/officeDocument/2006/relationships/image" Target="media/image2.png" /><Relationship Id="rId2" Type="http://schemas.openxmlformats.org/officeDocument/2006/relationships/oleObject" Target="embeddings/oleObject3.bin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342</TotalTime>
  <Pages>1</Pages>
  <Words>1524</Words>
  <Characters>8693</Characters>
  <Application>Microsoft Office Word</Application>
  <DocSecurity>0</DocSecurity>
  <Lines>72</Lines>
  <Paragraphs>20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Racunovodja</dc:creator>
  <cp:keywords/>
  <dc:description/>
  <cp:lastModifiedBy>Racunovodja</cp:lastModifiedBy>
  <cp:lastPrinted>2023-07-19T08:57:00Z</cp:lastPrinted>
  <cp:revision>57</cp:revision>
  <dcterms:created xsi:type="dcterms:W3CDTF">2023-03-28T08:54:00Z</dcterms:created>
  <dcterms:modified xsi:type="dcterms:W3CDTF">2023-07-20T07:52:00Z</dcterms:modified>
</cp:coreProperties>
</file>