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C8" w:rsidRDefault="00522BC8" w:rsidP="00522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BC8">
        <w:rPr>
          <w:rFonts w:ascii="Times New Roman" w:hAnsi="Times New Roman" w:cs="Times New Roman"/>
          <w:b/>
          <w:sz w:val="24"/>
          <w:szCs w:val="24"/>
        </w:rPr>
        <w:t>HOTELIJERSKO- TURISTIČKA I UGOSTITELJSKA</w:t>
      </w:r>
    </w:p>
    <w:p w:rsidR="00522BC8" w:rsidRPr="00522BC8" w:rsidRDefault="00522BC8" w:rsidP="00522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BC8">
        <w:rPr>
          <w:rFonts w:ascii="Times New Roman" w:hAnsi="Times New Roman" w:cs="Times New Roman"/>
          <w:b/>
          <w:sz w:val="24"/>
          <w:szCs w:val="24"/>
        </w:rPr>
        <w:t>ŠKOLA ZADAR</w:t>
      </w:r>
    </w:p>
    <w:p w:rsidR="00522BC8" w:rsidRPr="00522BC8" w:rsidRDefault="00522BC8" w:rsidP="00522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C8">
        <w:rPr>
          <w:rFonts w:ascii="Times New Roman" w:hAnsi="Times New Roman" w:cs="Times New Roman"/>
          <w:sz w:val="24"/>
          <w:szCs w:val="24"/>
        </w:rPr>
        <w:t>Antuna Gustava Matoša 40, 23000 Zadar</w:t>
      </w:r>
    </w:p>
    <w:p w:rsidR="00522BC8" w:rsidRPr="00522BC8" w:rsidRDefault="00522BC8" w:rsidP="00522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C8">
        <w:rPr>
          <w:rFonts w:ascii="Times New Roman" w:hAnsi="Times New Roman" w:cs="Times New Roman"/>
          <w:sz w:val="24"/>
          <w:szCs w:val="24"/>
        </w:rPr>
        <w:t>OIB: 91757782000 //  RKP: 19773</w:t>
      </w:r>
    </w:p>
    <w:p w:rsidR="00522BC8" w:rsidRPr="00522BC8" w:rsidRDefault="00522BC8" w:rsidP="00522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C8">
        <w:rPr>
          <w:rFonts w:ascii="Times New Roman" w:hAnsi="Times New Roman" w:cs="Times New Roman"/>
          <w:sz w:val="24"/>
          <w:szCs w:val="24"/>
        </w:rPr>
        <w:t>Tel: 023/ 335-295</w:t>
      </w:r>
    </w:p>
    <w:p w:rsidR="00522BC8" w:rsidRPr="00522BC8" w:rsidRDefault="00522BC8" w:rsidP="00522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C8">
        <w:rPr>
          <w:rFonts w:ascii="Times New Roman" w:hAnsi="Times New Roman" w:cs="Times New Roman"/>
          <w:sz w:val="24"/>
          <w:szCs w:val="24"/>
        </w:rPr>
        <w:t>E-mail: htus.zadar@skole.hr</w:t>
      </w:r>
    </w:p>
    <w:p w:rsidR="00522BC8" w:rsidRPr="00522BC8" w:rsidRDefault="00522BC8" w:rsidP="00522B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255" w:rsidRDefault="005C1A6B" w:rsidP="00522B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Zadar, 27</w:t>
      </w:r>
      <w:r w:rsidR="00522BC8">
        <w:rPr>
          <w:rFonts w:ascii="Times New Roman" w:hAnsi="Times New Roman" w:cs="Times New Roman"/>
          <w:sz w:val="24"/>
          <w:szCs w:val="24"/>
        </w:rPr>
        <w:t>.listopada 2023</w:t>
      </w:r>
      <w:r w:rsidR="00522BC8" w:rsidRPr="00522BC8">
        <w:rPr>
          <w:rFonts w:ascii="Times New Roman" w:hAnsi="Times New Roman" w:cs="Times New Roman"/>
          <w:sz w:val="24"/>
          <w:szCs w:val="24"/>
        </w:rPr>
        <w:t>.godine</w:t>
      </w:r>
    </w:p>
    <w:p w:rsidR="00522BC8" w:rsidRDefault="00522BC8" w:rsidP="00522B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87" w:rsidRDefault="00C60287" w:rsidP="00C60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2255">
        <w:rPr>
          <w:rFonts w:ascii="Times New Roman" w:hAnsi="Times New Roman" w:cs="Times New Roman"/>
          <w:b/>
          <w:sz w:val="24"/>
          <w:szCs w:val="24"/>
        </w:rPr>
        <w:t>OBRAZLOŽENJE PRIJEDLOGA FINANCIJSKOG PLANA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255" w:rsidRDefault="00C60287" w:rsidP="00C60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HOTELIJERSKO – TURISTIČKE I UGOSTITELJSKE ŠKOLE </w:t>
      </w:r>
      <w:r w:rsidRPr="00B12255">
        <w:rPr>
          <w:rFonts w:ascii="Times New Roman" w:hAnsi="Times New Roman" w:cs="Times New Roman"/>
          <w:b/>
          <w:sz w:val="24"/>
          <w:szCs w:val="24"/>
        </w:rPr>
        <w:t>ZA 2024. I PROJEKCIJA PLANA ZA 2025. I 2026.</w:t>
      </w:r>
      <w:r w:rsidR="00EC6583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bookmarkEnd w:id="0"/>
    <w:p w:rsidR="00B12255" w:rsidRDefault="00B12255" w:rsidP="00B12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255" w:rsidRDefault="00B12255" w:rsidP="00B12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DC7" w:rsidRPr="009A3C54" w:rsidRDefault="009A3C54" w:rsidP="009A3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C54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4E1DC7" w:rsidRPr="004E1DC7" w:rsidRDefault="004E1DC7" w:rsidP="004E1DC7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9E2" w:rsidRPr="00BA59E2" w:rsidRDefault="00BA59E2" w:rsidP="00EC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E2">
        <w:rPr>
          <w:rFonts w:ascii="Times New Roman" w:hAnsi="Times New Roman" w:cs="Times New Roman"/>
          <w:sz w:val="24"/>
          <w:szCs w:val="24"/>
        </w:rPr>
        <w:t>Hotelijersko – turistička i ugostiteljska škola Zadar je javna ustanova srednjeg odgoja i obrazovanja. Osnivač je Zadarska županija (Rješenje Ministarstva prosvjete i športa, Klasa: 602-03/92-01-769, Urbroj: 532-02-6/3-93-01, od 8. veljače 1993. godine).</w:t>
      </w:r>
    </w:p>
    <w:p w:rsidR="00BA59E2" w:rsidRPr="00BA59E2" w:rsidRDefault="00BA59E2" w:rsidP="00EC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E2">
        <w:rPr>
          <w:rFonts w:ascii="Times New Roman" w:hAnsi="Times New Roman" w:cs="Times New Roman"/>
          <w:sz w:val="24"/>
          <w:szCs w:val="24"/>
        </w:rPr>
        <w:t>Škola djeluje u zgradi izgrađenoj 1972. godine, smještenoj izvan grada pa većina učenika putuje javnim gradskim ili međugr</w:t>
      </w:r>
      <w:r w:rsidR="00EC625D">
        <w:rPr>
          <w:rFonts w:ascii="Times New Roman" w:hAnsi="Times New Roman" w:cs="Times New Roman"/>
          <w:sz w:val="24"/>
          <w:szCs w:val="24"/>
        </w:rPr>
        <w:t xml:space="preserve">adskim prijevozom. Prostor </w:t>
      </w:r>
      <w:r w:rsidRPr="00BA59E2">
        <w:rPr>
          <w:rFonts w:ascii="Times New Roman" w:hAnsi="Times New Roman" w:cs="Times New Roman"/>
          <w:sz w:val="24"/>
          <w:szCs w:val="24"/>
        </w:rPr>
        <w:t xml:space="preserve">dijeli s Ekonomskom – birotehničkom i trgovačkom školom Zadar te raspolaže sa 15 specijaliziranih učionica, </w:t>
      </w:r>
      <w:r>
        <w:rPr>
          <w:rFonts w:ascii="Times New Roman" w:hAnsi="Times New Roman" w:cs="Times New Roman"/>
          <w:sz w:val="24"/>
          <w:szCs w:val="24"/>
        </w:rPr>
        <w:t>5 praktikuma s garderobama, 9</w:t>
      </w:r>
      <w:r w:rsidRPr="00BA59E2">
        <w:rPr>
          <w:rFonts w:ascii="Times New Roman" w:hAnsi="Times New Roman" w:cs="Times New Roman"/>
          <w:sz w:val="24"/>
          <w:szCs w:val="24"/>
        </w:rPr>
        <w:t xml:space="preserve"> kabineta, dvorane za tjelesni odgoj, vanjskim igralištem i knjižnicom.</w:t>
      </w:r>
    </w:p>
    <w:p w:rsidR="00BA59E2" w:rsidRPr="00BA59E2" w:rsidRDefault="00BA59E2" w:rsidP="00EC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Školu pohađa 601 učenik raspoređen u 32 razredna odjela, </w:t>
      </w:r>
      <w:r w:rsidR="00EC625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nastava se odvija u dvije smjene. Ukupan broj zaposlenih čini 72 djelatnika; o</w:t>
      </w:r>
      <w:r w:rsidRPr="00BA59E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toga: 1 ravnatelj, 1 tajnica, </w:t>
      </w:r>
      <w:r w:rsidR="00C869DB">
        <w:rPr>
          <w:rFonts w:ascii="Times New Roman" w:hAnsi="Times New Roman" w:cs="Times New Roman"/>
          <w:sz w:val="24"/>
          <w:szCs w:val="24"/>
        </w:rPr>
        <w:t xml:space="preserve">1 voditelj računovodstva, 1 </w:t>
      </w:r>
      <w:r w:rsidR="008E415B">
        <w:rPr>
          <w:rFonts w:ascii="Times New Roman" w:hAnsi="Times New Roman" w:cs="Times New Roman"/>
          <w:sz w:val="24"/>
          <w:szCs w:val="24"/>
        </w:rPr>
        <w:t>administrator</w:t>
      </w:r>
      <w:r w:rsidR="00C869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59E2">
        <w:rPr>
          <w:rFonts w:ascii="Times New Roman" w:hAnsi="Times New Roman" w:cs="Times New Roman"/>
          <w:sz w:val="24"/>
          <w:szCs w:val="24"/>
        </w:rPr>
        <w:t xml:space="preserve"> stručna suradnika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69DB">
        <w:rPr>
          <w:rFonts w:ascii="Times New Roman" w:hAnsi="Times New Roman" w:cs="Times New Roman"/>
          <w:sz w:val="24"/>
          <w:szCs w:val="24"/>
        </w:rPr>
        <w:t>pedagog, psiholog, 2 knjižničarke)</w:t>
      </w:r>
      <w:r w:rsidRPr="00BA59E2">
        <w:rPr>
          <w:rFonts w:ascii="Times New Roman" w:hAnsi="Times New Roman" w:cs="Times New Roman"/>
          <w:sz w:val="24"/>
          <w:szCs w:val="24"/>
        </w:rPr>
        <w:t xml:space="preserve">, </w:t>
      </w:r>
      <w:r w:rsidR="00C869DB">
        <w:rPr>
          <w:rFonts w:ascii="Times New Roman" w:hAnsi="Times New Roman" w:cs="Times New Roman"/>
          <w:sz w:val="24"/>
          <w:szCs w:val="24"/>
        </w:rPr>
        <w:t>6 pomoćno - tehnička</w:t>
      </w:r>
      <w:r>
        <w:rPr>
          <w:rFonts w:ascii="Times New Roman" w:hAnsi="Times New Roman" w:cs="Times New Roman"/>
          <w:sz w:val="24"/>
          <w:szCs w:val="24"/>
        </w:rPr>
        <w:t xml:space="preserve"> osoblja te 58 nastavnika.</w:t>
      </w:r>
    </w:p>
    <w:p w:rsidR="00BA59E2" w:rsidRPr="00BA59E2" w:rsidRDefault="00BA59E2" w:rsidP="00EC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9E2" w:rsidRPr="00BA59E2" w:rsidRDefault="00BA59E2" w:rsidP="00EC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E2">
        <w:rPr>
          <w:rFonts w:ascii="Times New Roman" w:hAnsi="Times New Roman" w:cs="Times New Roman"/>
          <w:sz w:val="24"/>
          <w:szCs w:val="24"/>
        </w:rPr>
        <w:t>Škola obrazuje učenike za zanimanja: kuhar, konobar, slastičar, turističko – hotelijerski komercijalist, hotelijersko – turistički tehničar, pomoćni kuhar i slastičar (učenici s teškoćama u razvoju), pomoćni konobar (učenici s teškoćama u razvoju).</w:t>
      </w:r>
    </w:p>
    <w:p w:rsidR="00BA59E2" w:rsidRPr="00BA59E2" w:rsidRDefault="00BA59E2" w:rsidP="00EC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255" w:rsidRDefault="00B12255" w:rsidP="00EC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15B" w:rsidRPr="009A3C54" w:rsidRDefault="004E1DC7" w:rsidP="009A3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C54">
        <w:rPr>
          <w:rFonts w:ascii="Times New Roman" w:hAnsi="Times New Roman" w:cs="Times New Roman"/>
          <w:b/>
          <w:sz w:val="24"/>
          <w:szCs w:val="24"/>
        </w:rPr>
        <w:t>OBRAZLOŽENJE PROGRAMA, AKTIVNOSTI I PROJEKTATA</w:t>
      </w:r>
    </w:p>
    <w:p w:rsidR="00B12255" w:rsidRPr="00B12255" w:rsidRDefault="00B12255" w:rsidP="00EC6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2BD" w:rsidRDefault="007C72BD" w:rsidP="00EC6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93">
        <w:rPr>
          <w:rFonts w:ascii="Times New Roman" w:hAnsi="Times New Roman" w:cs="Times New Roman"/>
          <w:sz w:val="24"/>
          <w:szCs w:val="24"/>
        </w:rPr>
        <w:t>Financijskim planom planirana su sredstva za prov</w:t>
      </w:r>
      <w:r w:rsidR="00E13BA8">
        <w:rPr>
          <w:rFonts w:ascii="Times New Roman" w:hAnsi="Times New Roman" w:cs="Times New Roman"/>
          <w:sz w:val="24"/>
          <w:szCs w:val="24"/>
        </w:rPr>
        <w:t>ođenje programa srednje školstvo – standard, srednje školstvo - i</w:t>
      </w:r>
      <w:r w:rsidRPr="00B40C93">
        <w:rPr>
          <w:rFonts w:ascii="Times New Roman" w:hAnsi="Times New Roman" w:cs="Times New Roman"/>
          <w:sz w:val="24"/>
          <w:szCs w:val="24"/>
        </w:rPr>
        <w:t xml:space="preserve">znad </w:t>
      </w:r>
      <w:r w:rsidR="00E13BA8">
        <w:rPr>
          <w:rFonts w:ascii="Times New Roman" w:hAnsi="Times New Roman" w:cs="Times New Roman"/>
          <w:sz w:val="24"/>
          <w:szCs w:val="24"/>
        </w:rPr>
        <w:t>standarda</w:t>
      </w:r>
      <w:r w:rsidRPr="00B40C93">
        <w:rPr>
          <w:rFonts w:ascii="Times New Roman" w:hAnsi="Times New Roman" w:cs="Times New Roman"/>
          <w:sz w:val="24"/>
          <w:szCs w:val="24"/>
        </w:rPr>
        <w:t xml:space="preserve"> te programi koji se financiraju iz sredstva EU. Ukupni planirani prihodi za 2024. godinu</w:t>
      </w:r>
      <w:r w:rsidR="00EC625D">
        <w:rPr>
          <w:rFonts w:ascii="Times New Roman" w:hAnsi="Times New Roman" w:cs="Times New Roman"/>
          <w:sz w:val="24"/>
          <w:szCs w:val="24"/>
        </w:rPr>
        <w:t xml:space="preserve"> iznose</w:t>
      </w:r>
      <w:r w:rsidRPr="00B40C93">
        <w:rPr>
          <w:rFonts w:ascii="Times New Roman" w:hAnsi="Times New Roman" w:cs="Times New Roman"/>
          <w:sz w:val="24"/>
          <w:szCs w:val="24"/>
        </w:rPr>
        <w:t xml:space="preserve"> 1.882.018,34 eura, a rashodi 1.890.018,34 eura. U plan se uključuje i višak prihoda koji je nastao kao razlika prihoda i rashoda ostvaren</w:t>
      </w:r>
      <w:r w:rsidR="008E415B">
        <w:rPr>
          <w:rFonts w:ascii="Times New Roman" w:hAnsi="Times New Roman" w:cs="Times New Roman"/>
          <w:sz w:val="24"/>
          <w:szCs w:val="24"/>
        </w:rPr>
        <w:t>ih u 2023. godini, a kojim će se pokriti višak</w:t>
      </w:r>
      <w:r w:rsidRPr="00B40C93">
        <w:rPr>
          <w:rFonts w:ascii="Times New Roman" w:hAnsi="Times New Roman" w:cs="Times New Roman"/>
          <w:sz w:val="24"/>
          <w:szCs w:val="24"/>
        </w:rPr>
        <w:t xml:space="preserve"> rashoda u 2024. godini.</w:t>
      </w:r>
    </w:p>
    <w:p w:rsidR="004E1DC7" w:rsidRPr="004E1DC7" w:rsidRDefault="004E1DC7" w:rsidP="004E1D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C7">
        <w:rPr>
          <w:rFonts w:ascii="Times New Roman" w:hAnsi="Times New Roman" w:cs="Times New Roman"/>
          <w:sz w:val="24"/>
          <w:szCs w:val="24"/>
        </w:rPr>
        <w:t xml:space="preserve">U navedene tri godine </w:t>
      </w:r>
      <w:r>
        <w:rPr>
          <w:rFonts w:ascii="Times New Roman" w:hAnsi="Times New Roman" w:cs="Times New Roman"/>
          <w:sz w:val="24"/>
          <w:szCs w:val="24"/>
        </w:rPr>
        <w:t>želja Škole j</w:t>
      </w:r>
      <w:r w:rsidR="00E13BA8">
        <w:rPr>
          <w:rFonts w:ascii="Times New Roman" w:hAnsi="Times New Roman" w:cs="Times New Roman"/>
          <w:sz w:val="24"/>
          <w:szCs w:val="24"/>
        </w:rPr>
        <w:t>e</w:t>
      </w:r>
      <w:r w:rsidRPr="004E1DC7">
        <w:rPr>
          <w:rFonts w:ascii="Times New Roman" w:hAnsi="Times New Roman" w:cs="Times New Roman"/>
          <w:sz w:val="24"/>
          <w:szCs w:val="24"/>
        </w:rPr>
        <w:t xml:space="preserve"> podići kvalitetu nastave na što višu razinu i to kontinuiranim </w:t>
      </w:r>
      <w:r w:rsidR="00E13BA8">
        <w:rPr>
          <w:rFonts w:ascii="Times New Roman" w:hAnsi="Times New Roman" w:cs="Times New Roman"/>
          <w:sz w:val="24"/>
          <w:szCs w:val="24"/>
        </w:rPr>
        <w:t xml:space="preserve">i </w:t>
      </w:r>
      <w:r w:rsidRPr="004E1DC7">
        <w:rPr>
          <w:rFonts w:ascii="Times New Roman" w:hAnsi="Times New Roman" w:cs="Times New Roman"/>
          <w:sz w:val="24"/>
          <w:szCs w:val="24"/>
        </w:rPr>
        <w:t xml:space="preserve">kvalitetnim usavršavanjem nastavnika, sudjelovanjem na </w:t>
      </w:r>
      <w:r>
        <w:rPr>
          <w:rFonts w:ascii="Times New Roman" w:hAnsi="Times New Roman" w:cs="Times New Roman"/>
          <w:sz w:val="24"/>
          <w:szCs w:val="24"/>
        </w:rPr>
        <w:t>seminarima i stručnim skupovima</w:t>
      </w:r>
      <w:r w:rsidRPr="004E1DC7">
        <w:rPr>
          <w:rFonts w:ascii="Times New Roman" w:hAnsi="Times New Roman" w:cs="Times New Roman"/>
          <w:sz w:val="24"/>
          <w:szCs w:val="24"/>
        </w:rPr>
        <w:t xml:space="preserve"> te podizanjem materijalnih i drugih uvjeta u Školi, a sve u skl</w:t>
      </w:r>
      <w:r>
        <w:rPr>
          <w:rFonts w:ascii="Times New Roman" w:hAnsi="Times New Roman" w:cs="Times New Roman"/>
          <w:sz w:val="24"/>
          <w:szCs w:val="24"/>
        </w:rPr>
        <w:t>adu s Planom i programom Škole i njenim</w:t>
      </w:r>
      <w:r w:rsidRPr="004E1DC7">
        <w:rPr>
          <w:rFonts w:ascii="Times New Roman" w:hAnsi="Times New Roman" w:cs="Times New Roman"/>
          <w:sz w:val="24"/>
          <w:szCs w:val="24"/>
        </w:rPr>
        <w:t xml:space="preserve"> mogućnostima.</w:t>
      </w:r>
    </w:p>
    <w:p w:rsidR="004E1DC7" w:rsidRPr="004E1DC7" w:rsidRDefault="004E1DC7" w:rsidP="004E1D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C7">
        <w:rPr>
          <w:rFonts w:ascii="Times New Roman" w:hAnsi="Times New Roman" w:cs="Times New Roman"/>
          <w:sz w:val="24"/>
          <w:szCs w:val="24"/>
        </w:rPr>
        <w:t>Škola također planira i dalje sudjelovati i doprinositi dalj</w:t>
      </w:r>
      <w:r>
        <w:rPr>
          <w:rFonts w:ascii="Times New Roman" w:hAnsi="Times New Roman" w:cs="Times New Roman"/>
          <w:sz w:val="24"/>
          <w:szCs w:val="24"/>
        </w:rPr>
        <w:t>njem razvoju putem EU projekata</w:t>
      </w:r>
      <w:r w:rsidRPr="004E1DC7">
        <w:rPr>
          <w:rFonts w:ascii="Times New Roman" w:hAnsi="Times New Roman" w:cs="Times New Roman"/>
          <w:sz w:val="24"/>
          <w:szCs w:val="24"/>
        </w:rPr>
        <w:t xml:space="preserve"> te zaposlenicima i učenicima poboljšati uvjete rada i školovanja.</w:t>
      </w:r>
    </w:p>
    <w:p w:rsidR="009C0555" w:rsidRPr="00B40C93" w:rsidRDefault="001E7E25" w:rsidP="00EC6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školi se p</w:t>
      </w:r>
      <w:r w:rsidR="00E13BA8">
        <w:rPr>
          <w:rFonts w:ascii="Times New Roman" w:hAnsi="Times New Roman" w:cs="Times New Roman"/>
          <w:sz w:val="24"/>
          <w:szCs w:val="24"/>
        </w:rPr>
        <w:t>rovodi 4</w:t>
      </w:r>
      <w:r>
        <w:rPr>
          <w:rFonts w:ascii="Times New Roman" w:hAnsi="Times New Roman" w:cs="Times New Roman"/>
          <w:sz w:val="24"/>
          <w:szCs w:val="24"/>
        </w:rPr>
        <w:t xml:space="preserve"> programa koji se financiraju iz</w:t>
      </w:r>
      <w:r w:rsidR="004E1DC7">
        <w:rPr>
          <w:rFonts w:ascii="Times New Roman" w:hAnsi="Times New Roman" w:cs="Times New Roman"/>
          <w:sz w:val="24"/>
          <w:szCs w:val="24"/>
        </w:rPr>
        <w:t xml:space="preserve"> različitih izvora financiranja:</w:t>
      </w:r>
    </w:p>
    <w:p w:rsidR="009C0555" w:rsidRDefault="007C72BD" w:rsidP="004E1D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DC7">
        <w:rPr>
          <w:rFonts w:ascii="Times New Roman" w:hAnsi="Times New Roman" w:cs="Times New Roman"/>
          <w:b/>
          <w:sz w:val="24"/>
          <w:szCs w:val="24"/>
        </w:rPr>
        <w:lastRenderedPageBreak/>
        <w:t>Program 2204 – Srednje školstvo-standard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4E1DC7" w:rsidRPr="001C248F" w:rsidTr="001E6FBD">
        <w:tc>
          <w:tcPr>
            <w:tcW w:w="1583" w:type="dxa"/>
            <w:shd w:val="clear" w:color="auto" w:fill="D9D9D9" w:themeFill="background1" w:themeFillShade="D9"/>
          </w:tcPr>
          <w:p w:rsidR="004E1DC7" w:rsidRPr="001C248F" w:rsidRDefault="004E1DC7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Program</w:t>
            </w:r>
          </w:p>
          <w:p w:rsidR="004E1DC7" w:rsidRPr="001C248F" w:rsidRDefault="004E1DC7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:rsidR="004E1DC7" w:rsidRPr="001C248F" w:rsidRDefault="004E1DC7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4E1DC7" w:rsidRPr="001C248F" w:rsidRDefault="004E1DC7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4E1DC7" w:rsidRPr="001C248F" w:rsidRDefault="004E1DC7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2025.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4E1DC7" w:rsidRPr="001C248F" w:rsidRDefault="004E1DC7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2026.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4E1DC7" w:rsidRPr="001C248F" w:rsidRDefault="004E1DC7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Indeks 2024/2023</w:t>
            </w:r>
          </w:p>
        </w:tc>
      </w:tr>
      <w:tr w:rsidR="004E1DC7" w:rsidRPr="001C248F" w:rsidTr="001E6FBD">
        <w:tc>
          <w:tcPr>
            <w:tcW w:w="1583" w:type="dxa"/>
          </w:tcPr>
          <w:p w:rsidR="004E1DC7" w:rsidRPr="001C248F" w:rsidRDefault="004E1DC7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2204</w:t>
            </w:r>
          </w:p>
          <w:p w:rsidR="004E1DC7" w:rsidRPr="001C248F" w:rsidRDefault="004E1DC7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4E1DC7" w:rsidRPr="001C248F" w:rsidRDefault="003C7C3B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1.687.488,68</w:t>
            </w:r>
          </w:p>
        </w:tc>
        <w:tc>
          <w:tcPr>
            <w:tcW w:w="1583" w:type="dxa"/>
          </w:tcPr>
          <w:p w:rsidR="004E1DC7" w:rsidRPr="001C248F" w:rsidRDefault="003C7C3B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1.842.712,34</w:t>
            </w:r>
          </w:p>
        </w:tc>
        <w:tc>
          <w:tcPr>
            <w:tcW w:w="1583" w:type="dxa"/>
          </w:tcPr>
          <w:p w:rsidR="004E1DC7" w:rsidRPr="001C248F" w:rsidRDefault="003C7C3B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1.888.780,15</w:t>
            </w:r>
          </w:p>
        </w:tc>
        <w:tc>
          <w:tcPr>
            <w:tcW w:w="1583" w:type="dxa"/>
          </w:tcPr>
          <w:p w:rsidR="004E1DC7" w:rsidRPr="001C248F" w:rsidRDefault="003C7C3B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1.935.999,71</w:t>
            </w:r>
          </w:p>
        </w:tc>
        <w:tc>
          <w:tcPr>
            <w:tcW w:w="1583" w:type="dxa"/>
          </w:tcPr>
          <w:p w:rsidR="004E1DC7" w:rsidRPr="001C248F" w:rsidRDefault="003C7C3B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109,20</w:t>
            </w:r>
          </w:p>
        </w:tc>
      </w:tr>
    </w:tbl>
    <w:p w:rsidR="004E1DC7" w:rsidRDefault="004E1DC7" w:rsidP="004E1D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DC7" w:rsidRDefault="004E1DC7" w:rsidP="004E1D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DC7">
        <w:rPr>
          <w:rFonts w:ascii="Times New Roman" w:hAnsi="Times New Roman" w:cs="Times New Roman"/>
          <w:b/>
          <w:sz w:val="24"/>
          <w:szCs w:val="24"/>
        </w:rPr>
        <w:t>Opis programa</w:t>
      </w:r>
    </w:p>
    <w:p w:rsidR="004E1DC7" w:rsidRPr="004E1DC7" w:rsidRDefault="004E1DC7" w:rsidP="004E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C7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ogram „ 2204 - Srednje školstvo-</w:t>
      </w:r>
      <w:r w:rsidRPr="004E1DC7">
        <w:rPr>
          <w:rFonts w:ascii="Times New Roman" w:hAnsi="Times New Roman" w:cs="Times New Roman"/>
          <w:sz w:val="24"/>
          <w:szCs w:val="24"/>
        </w:rPr>
        <w:t>standard“ namijenjen je financiranju temeljnih potreba za</w:t>
      </w:r>
    </w:p>
    <w:p w:rsidR="004E1DC7" w:rsidRPr="004E1DC7" w:rsidRDefault="004E1DC7" w:rsidP="004E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C7">
        <w:rPr>
          <w:rFonts w:ascii="Times New Roman" w:hAnsi="Times New Roman" w:cs="Times New Roman"/>
          <w:sz w:val="24"/>
          <w:szCs w:val="24"/>
        </w:rPr>
        <w:t>poslovanje Škole. Iz sredstava navedenog programa pokrivaju se materijalni rashodi Škole i</w:t>
      </w:r>
    </w:p>
    <w:p w:rsidR="004E1DC7" w:rsidRPr="004E1DC7" w:rsidRDefault="004E1DC7" w:rsidP="004E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C7">
        <w:rPr>
          <w:rFonts w:ascii="Times New Roman" w:hAnsi="Times New Roman" w:cs="Times New Roman"/>
          <w:sz w:val="24"/>
          <w:szCs w:val="24"/>
        </w:rPr>
        <w:t>financiraju plaće djelatni</w:t>
      </w:r>
      <w:r>
        <w:rPr>
          <w:rFonts w:ascii="Times New Roman" w:hAnsi="Times New Roman" w:cs="Times New Roman"/>
          <w:sz w:val="24"/>
          <w:szCs w:val="24"/>
        </w:rPr>
        <w:t>ka. Ukupni iznos rashoda za 2024</w:t>
      </w:r>
      <w:r w:rsidRPr="004E1DC7">
        <w:rPr>
          <w:rFonts w:ascii="Times New Roman" w:hAnsi="Times New Roman" w:cs="Times New Roman"/>
          <w:sz w:val="24"/>
          <w:szCs w:val="24"/>
        </w:rPr>
        <w:t>.g. planiranih na razini programa</w:t>
      </w:r>
    </w:p>
    <w:p w:rsidR="004E1DC7" w:rsidRDefault="004E1DC7" w:rsidP="004E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iznosi 1.842.712,34.</w:t>
      </w:r>
    </w:p>
    <w:p w:rsidR="004E1DC7" w:rsidRDefault="004E1DC7" w:rsidP="004E1DC7">
      <w:pPr>
        <w:spacing w:after="0" w:line="240" w:lineRule="auto"/>
        <w:jc w:val="both"/>
      </w:pPr>
    </w:p>
    <w:p w:rsidR="007C72BD" w:rsidRPr="00B40C93" w:rsidRDefault="009C0555" w:rsidP="009C0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2204 </w:t>
      </w:r>
      <w:r w:rsidR="007C72BD" w:rsidRPr="00B40C93">
        <w:rPr>
          <w:rFonts w:ascii="Times New Roman" w:hAnsi="Times New Roman" w:cs="Times New Roman"/>
          <w:sz w:val="24"/>
          <w:szCs w:val="24"/>
        </w:rPr>
        <w:t>provodi se kroz sljedeće aktivnosti:</w:t>
      </w:r>
    </w:p>
    <w:p w:rsidR="007C72BD" w:rsidRPr="00B40C93" w:rsidRDefault="007C72BD" w:rsidP="00EC625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93">
        <w:rPr>
          <w:rFonts w:ascii="Times New Roman" w:hAnsi="Times New Roman" w:cs="Times New Roman"/>
          <w:sz w:val="24"/>
          <w:szCs w:val="24"/>
        </w:rPr>
        <w:t>Aktivnost A2204-01 – Djelatnost srednjih škola</w:t>
      </w:r>
    </w:p>
    <w:p w:rsidR="007C72BD" w:rsidRDefault="007C72BD" w:rsidP="00EC625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93">
        <w:rPr>
          <w:rFonts w:ascii="Times New Roman" w:hAnsi="Times New Roman" w:cs="Times New Roman"/>
          <w:sz w:val="24"/>
          <w:szCs w:val="24"/>
        </w:rPr>
        <w:t>Aktivnost A2204-07 – Administracija i upravljanje</w:t>
      </w:r>
    </w:p>
    <w:p w:rsidR="00B61062" w:rsidRPr="00D30341" w:rsidRDefault="00B61062" w:rsidP="004E1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341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D30341" w:rsidRDefault="00D30341" w:rsidP="004E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C7" w:rsidRPr="004E1DC7" w:rsidRDefault="004E1DC7" w:rsidP="004E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C7">
        <w:rPr>
          <w:rFonts w:ascii="Times New Roman" w:hAnsi="Times New Roman" w:cs="Times New Roman"/>
          <w:sz w:val="24"/>
          <w:szCs w:val="24"/>
        </w:rPr>
        <w:t>1.</w:t>
      </w:r>
      <w:r w:rsidRPr="004E1DC7">
        <w:rPr>
          <w:rFonts w:ascii="Times New Roman" w:hAnsi="Times New Roman" w:cs="Times New Roman"/>
          <w:sz w:val="24"/>
          <w:szCs w:val="24"/>
        </w:rPr>
        <w:tab/>
        <w:t>Zakon o plaćama u javnim službama</w:t>
      </w:r>
    </w:p>
    <w:p w:rsidR="004E1DC7" w:rsidRPr="004E1DC7" w:rsidRDefault="004E1DC7" w:rsidP="004E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C7">
        <w:rPr>
          <w:rFonts w:ascii="Times New Roman" w:hAnsi="Times New Roman" w:cs="Times New Roman"/>
          <w:sz w:val="24"/>
          <w:szCs w:val="24"/>
        </w:rPr>
        <w:t>2.</w:t>
      </w:r>
      <w:r w:rsidRPr="004E1DC7">
        <w:rPr>
          <w:rFonts w:ascii="Times New Roman" w:hAnsi="Times New Roman" w:cs="Times New Roman"/>
          <w:sz w:val="24"/>
          <w:szCs w:val="24"/>
        </w:rPr>
        <w:tab/>
        <w:t>Temeljni kolektivni ugovor za službenike i namještenike u javnim službama</w:t>
      </w:r>
    </w:p>
    <w:p w:rsidR="001E7E25" w:rsidRDefault="004E1DC7" w:rsidP="0047705F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E1DC7">
        <w:rPr>
          <w:rFonts w:ascii="Times New Roman" w:hAnsi="Times New Roman" w:cs="Times New Roman"/>
          <w:sz w:val="24"/>
          <w:szCs w:val="24"/>
        </w:rPr>
        <w:t>3.</w:t>
      </w:r>
      <w:r w:rsidRPr="004E1DC7">
        <w:rPr>
          <w:rFonts w:ascii="Times New Roman" w:hAnsi="Times New Roman" w:cs="Times New Roman"/>
          <w:sz w:val="24"/>
          <w:szCs w:val="24"/>
        </w:rPr>
        <w:tab/>
        <w:t xml:space="preserve">Upute za izradu prijedloga proračuna i financijskog plana upravnih tijela, proračunskih </w:t>
      </w:r>
      <w:r w:rsidR="0047705F">
        <w:rPr>
          <w:rFonts w:ascii="Times New Roman" w:hAnsi="Times New Roman" w:cs="Times New Roman"/>
          <w:sz w:val="24"/>
          <w:szCs w:val="24"/>
        </w:rPr>
        <w:t xml:space="preserve"> </w:t>
      </w:r>
      <w:r w:rsidRPr="004E1DC7">
        <w:rPr>
          <w:rFonts w:ascii="Times New Roman" w:hAnsi="Times New Roman" w:cs="Times New Roman"/>
          <w:sz w:val="24"/>
          <w:szCs w:val="24"/>
        </w:rPr>
        <w:t>i izvanproračunskih korisnika Zadarske županije za 202</w:t>
      </w:r>
      <w:r>
        <w:rPr>
          <w:rFonts w:ascii="Times New Roman" w:hAnsi="Times New Roman" w:cs="Times New Roman"/>
          <w:sz w:val="24"/>
          <w:szCs w:val="24"/>
        </w:rPr>
        <w:t>4.-2026</w:t>
      </w:r>
      <w:r w:rsidRPr="004E1DC7">
        <w:rPr>
          <w:rFonts w:ascii="Times New Roman" w:hAnsi="Times New Roman" w:cs="Times New Roman"/>
          <w:sz w:val="24"/>
          <w:szCs w:val="24"/>
        </w:rPr>
        <w:t>. godinu</w:t>
      </w:r>
    </w:p>
    <w:p w:rsidR="004E1DC7" w:rsidRDefault="004E1DC7" w:rsidP="004E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062" w:rsidRPr="004E1DC7" w:rsidRDefault="004E1DC7" w:rsidP="00B40C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DC7">
        <w:rPr>
          <w:rFonts w:ascii="Times New Roman" w:hAnsi="Times New Roman" w:cs="Times New Roman"/>
          <w:b/>
          <w:sz w:val="24"/>
          <w:szCs w:val="24"/>
        </w:rPr>
        <w:t>Aktivnost A2204-01 – Djelatnost srednjih škola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EE6C0D" w:rsidRPr="001C248F" w:rsidTr="001E6FBD">
        <w:tc>
          <w:tcPr>
            <w:tcW w:w="1583" w:type="dxa"/>
            <w:shd w:val="clear" w:color="auto" w:fill="D9D9D9" w:themeFill="background1" w:themeFillShade="D9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Aktivnost</w:t>
            </w:r>
          </w:p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2025.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2026.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Indeks 2024/2023</w:t>
            </w:r>
          </w:p>
        </w:tc>
      </w:tr>
      <w:tr w:rsidR="00EE6C0D" w:rsidRPr="001C248F" w:rsidTr="001E6FBD">
        <w:tc>
          <w:tcPr>
            <w:tcW w:w="1583" w:type="dxa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2204-01</w:t>
            </w:r>
          </w:p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EE6C0D" w:rsidRPr="001C248F" w:rsidRDefault="00023F2C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190.788,68</w:t>
            </w:r>
          </w:p>
        </w:tc>
        <w:tc>
          <w:tcPr>
            <w:tcW w:w="1583" w:type="dxa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196.512,34</w:t>
            </w:r>
          </w:p>
        </w:tc>
        <w:tc>
          <w:tcPr>
            <w:tcW w:w="1583" w:type="dxa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201.425,15</w:t>
            </w:r>
          </w:p>
        </w:tc>
        <w:tc>
          <w:tcPr>
            <w:tcW w:w="1583" w:type="dxa"/>
          </w:tcPr>
          <w:p w:rsidR="00EE6C0D" w:rsidRPr="001C248F" w:rsidRDefault="00EE6C0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206.460,83</w:t>
            </w:r>
          </w:p>
        </w:tc>
        <w:tc>
          <w:tcPr>
            <w:tcW w:w="1583" w:type="dxa"/>
          </w:tcPr>
          <w:p w:rsidR="00EE6C0D" w:rsidRPr="001C248F" w:rsidRDefault="00023F2C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103,00</w:t>
            </w:r>
          </w:p>
        </w:tc>
      </w:tr>
    </w:tbl>
    <w:p w:rsidR="00EE6C0D" w:rsidRDefault="00EE6C0D" w:rsidP="00B40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341" w:rsidRPr="00D30341" w:rsidRDefault="00D30341" w:rsidP="00B40C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341">
        <w:rPr>
          <w:rFonts w:ascii="Times New Roman" w:hAnsi="Times New Roman" w:cs="Times New Roman"/>
          <w:b/>
          <w:sz w:val="24"/>
          <w:szCs w:val="24"/>
        </w:rPr>
        <w:t>Opis aktivnosti</w:t>
      </w:r>
    </w:p>
    <w:p w:rsidR="00B12255" w:rsidRPr="00B12255" w:rsidRDefault="001C248F" w:rsidP="00B122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</w:t>
      </w:r>
      <w:r w:rsidR="00D30341">
        <w:rPr>
          <w:rFonts w:ascii="Times New Roman" w:hAnsi="Times New Roman" w:cs="Times New Roman"/>
          <w:sz w:val="24"/>
          <w:szCs w:val="24"/>
        </w:rPr>
        <w:t xml:space="preserve"> i sredstva </w:t>
      </w:r>
      <w:r w:rsidR="00B12255" w:rsidRPr="00B12255">
        <w:rPr>
          <w:rFonts w:ascii="Times New Roman" w:hAnsi="Times New Roman" w:cs="Times New Roman"/>
          <w:sz w:val="24"/>
          <w:szCs w:val="24"/>
        </w:rPr>
        <w:t>namijenjena</w:t>
      </w:r>
      <w:r w:rsidR="00D30341">
        <w:rPr>
          <w:rFonts w:ascii="Times New Roman" w:hAnsi="Times New Roman" w:cs="Times New Roman"/>
          <w:sz w:val="24"/>
          <w:szCs w:val="24"/>
        </w:rPr>
        <w:t xml:space="preserve"> su</w:t>
      </w:r>
      <w:r w:rsidR="00B12255" w:rsidRPr="00B12255">
        <w:rPr>
          <w:rFonts w:ascii="Times New Roman" w:hAnsi="Times New Roman" w:cs="Times New Roman"/>
          <w:sz w:val="24"/>
          <w:szCs w:val="24"/>
        </w:rPr>
        <w:t xml:space="preserve"> financiranju materijalnih rashoda Škole, a koji se sastoje od troška prijevoza zaposlenika s posla i na posao, službena putovanja i usavršavanje zaposlenika, za podmiriv</w:t>
      </w:r>
      <w:r w:rsidR="008E415B">
        <w:rPr>
          <w:rFonts w:ascii="Times New Roman" w:hAnsi="Times New Roman" w:cs="Times New Roman"/>
          <w:sz w:val="24"/>
          <w:szCs w:val="24"/>
        </w:rPr>
        <w:t>anje troška uredskog materijala</w:t>
      </w:r>
      <w:r w:rsidR="00B12255" w:rsidRPr="00B12255">
        <w:rPr>
          <w:rFonts w:ascii="Times New Roman" w:hAnsi="Times New Roman" w:cs="Times New Roman"/>
          <w:sz w:val="24"/>
          <w:szCs w:val="24"/>
        </w:rPr>
        <w:t xml:space="preserve"> te materijala za čišćenje i higijenu, komunalne usluge, grijanje, usluge održavanja računala, usluge i materijal za redovno </w:t>
      </w:r>
      <w:r w:rsidR="003C7C3B">
        <w:rPr>
          <w:rFonts w:ascii="Times New Roman" w:hAnsi="Times New Roman" w:cs="Times New Roman"/>
          <w:sz w:val="24"/>
          <w:szCs w:val="24"/>
        </w:rPr>
        <w:t>i investicijsko</w:t>
      </w:r>
      <w:r w:rsidR="00B12255" w:rsidRPr="00B12255">
        <w:rPr>
          <w:rFonts w:ascii="Times New Roman" w:hAnsi="Times New Roman" w:cs="Times New Roman"/>
          <w:sz w:val="24"/>
          <w:szCs w:val="24"/>
        </w:rPr>
        <w:t xml:space="preserve"> održavanje zgrade i prostorija, osiguranje, članarine i ostali rashodi i izdaci povezani s redovnim radom Škole. </w:t>
      </w:r>
    </w:p>
    <w:p w:rsidR="00B12255" w:rsidRPr="00B12255" w:rsidRDefault="00B12255" w:rsidP="00B122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255">
        <w:rPr>
          <w:rFonts w:ascii="Times New Roman" w:hAnsi="Times New Roman" w:cs="Times New Roman"/>
          <w:sz w:val="24"/>
          <w:szCs w:val="24"/>
        </w:rPr>
        <w:t>Rashodi i izdaci za</w:t>
      </w:r>
      <w:r w:rsidR="008E415B">
        <w:rPr>
          <w:rFonts w:ascii="Times New Roman" w:hAnsi="Times New Roman" w:cs="Times New Roman"/>
          <w:sz w:val="24"/>
          <w:szCs w:val="24"/>
        </w:rPr>
        <w:t>snivaju se na stanju tekuće 2023. godine</w:t>
      </w:r>
      <w:r w:rsidRPr="00B12255">
        <w:rPr>
          <w:rFonts w:ascii="Times New Roman" w:hAnsi="Times New Roman" w:cs="Times New Roman"/>
          <w:sz w:val="24"/>
          <w:szCs w:val="24"/>
        </w:rPr>
        <w:t xml:space="preserve"> te usporedbom s prethodnim godinama i realnoj procjeni plana za sljedeću godinu, no </w:t>
      </w:r>
      <w:r w:rsidR="00023F2C">
        <w:rPr>
          <w:rFonts w:ascii="Times New Roman" w:hAnsi="Times New Roman" w:cs="Times New Roman"/>
          <w:sz w:val="24"/>
          <w:szCs w:val="24"/>
        </w:rPr>
        <w:t xml:space="preserve">kako za ovu aktivnost Škola dobije  limit koji ne smije prekoračiti </w:t>
      </w:r>
      <w:r w:rsidRPr="00B12255">
        <w:rPr>
          <w:rFonts w:ascii="Times New Roman" w:hAnsi="Times New Roman" w:cs="Times New Roman"/>
          <w:sz w:val="24"/>
          <w:szCs w:val="24"/>
        </w:rPr>
        <w:t>sredstva su raspoređena prema mogućnostima.</w:t>
      </w:r>
    </w:p>
    <w:p w:rsidR="00B12255" w:rsidRDefault="00B12255" w:rsidP="00B40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C0D" w:rsidRDefault="0081472D" w:rsidP="00B40C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b/>
          <w:sz w:val="24"/>
          <w:szCs w:val="24"/>
        </w:rPr>
        <w:t>Aktivnost A2204-07 – Administracija i upravljanje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B70E99" w:rsidRPr="001C248F" w:rsidTr="00B70E99"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Aktivnost</w:t>
            </w:r>
          </w:p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2025.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2026.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Indeks 2024/2023</w:t>
            </w:r>
          </w:p>
        </w:tc>
      </w:tr>
      <w:tr w:rsidR="00B70E99" w:rsidRPr="001C248F" w:rsidTr="00B70E99">
        <w:tc>
          <w:tcPr>
            <w:tcW w:w="1583" w:type="dxa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2204-07</w:t>
            </w:r>
          </w:p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1.496.700,00</w:t>
            </w:r>
          </w:p>
        </w:tc>
        <w:tc>
          <w:tcPr>
            <w:tcW w:w="1583" w:type="dxa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1.646.200,00</w:t>
            </w:r>
          </w:p>
        </w:tc>
        <w:tc>
          <w:tcPr>
            <w:tcW w:w="1583" w:type="dxa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1.687.355,00</w:t>
            </w:r>
          </w:p>
        </w:tc>
        <w:tc>
          <w:tcPr>
            <w:tcW w:w="1583" w:type="dxa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1.729.538,88</w:t>
            </w:r>
          </w:p>
        </w:tc>
        <w:tc>
          <w:tcPr>
            <w:tcW w:w="1583" w:type="dxa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109,99</w:t>
            </w:r>
          </w:p>
        </w:tc>
      </w:tr>
    </w:tbl>
    <w:p w:rsidR="0081472D" w:rsidRPr="0081472D" w:rsidRDefault="0081472D" w:rsidP="00B40C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2D">
        <w:rPr>
          <w:rFonts w:ascii="Times New Roman" w:hAnsi="Times New Roman" w:cs="Times New Roman"/>
          <w:b/>
          <w:sz w:val="24"/>
          <w:szCs w:val="24"/>
        </w:rPr>
        <w:lastRenderedPageBreak/>
        <w:t>Opis aktivnosti</w:t>
      </w:r>
    </w:p>
    <w:p w:rsidR="007C72BD" w:rsidRDefault="00B40C93" w:rsidP="00EE6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93">
        <w:rPr>
          <w:rFonts w:ascii="Times New Roman" w:hAnsi="Times New Roman" w:cs="Times New Roman"/>
          <w:sz w:val="24"/>
          <w:szCs w:val="24"/>
        </w:rPr>
        <w:t xml:space="preserve">Pod </w:t>
      </w:r>
      <w:r w:rsidR="00EE6C0D">
        <w:rPr>
          <w:rFonts w:ascii="Times New Roman" w:hAnsi="Times New Roman" w:cs="Times New Roman"/>
          <w:sz w:val="24"/>
          <w:szCs w:val="24"/>
        </w:rPr>
        <w:t>aktivnosti</w:t>
      </w:r>
      <w:r w:rsidRPr="00B40C93">
        <w:rPr>
          <w:rFonts w:ascii="Times New Roman" w:hAnsi="Times New Roman" w:cs="Times New Roman"/>
          <w:sz w:val="24"/>
          <w:szCs w:val="24"/>
        </w:rPr>
        <w:t xml:space="preserve"> Administracija i upravljanje planiraju se sredstva za rashode plaća zaposlenika Škole, doprinosi iz plaće, rashodi za materijalna prava koja zaposlenici </w:t>
      </w:r>
      <w:r>
        <w:rPr>
          <w:rFonts w:ascii="Times New Roman" w:hAnsi="Times New Roman" w:cs="Times New Roman"/>
          <w:sz w:val="24"/>
          <w:szCs w:val="24"/>
        </w:rPr>
        <w:t>imaju prema Kolektivnom ugovoru</w:t>
      </w:r>
      <w:r w:rsidRPr="00B40C93">
        <w:rPr>
          <w:rFonts w:ascii="Times New Roman" w:hAnsi="Times New Roman" w:cs="Times New Roman"/>
          <w:sz w:val="24"/>
          <w:szCs w:val="24"/>
        </w:rPr>
        <w:t xml:space="preserve"> te naknada za nezapošljavanje osoba s invali</w:t>
      </w:r>
      <w:r w:rsidR="00EE6C0D">
        <w:rPr>
          <w:rFonts w:ascii="Times New Roman" w:hAnsi="Times New Roman" w:cs="Times New Roman"/>
          <w:sz w:val="24"/>
          <w:szCs w:val="24"/>
        </w:rPr>
        <w:t>ditetom. S obzirom na najavu</w:t>
      </w:r>
      <w:r w:rsidRPr="00B40C93">
        <w:rPr>
          <w:rFonts w:ascii="Times New Roman" w:hAnsi="Times New Roman" w:cs="Times New Roman"/>
          <w:sz w:val="24"/>
          <w:szCs w:val="24"/>
        </w:rPr>
        <w:t xml:space="preserve"> o poveć</w:t>
      </w:r>
      <w:r w:rsidR="00EE6C0D">
        <w:rPr>
          <w:rFonts w:ascii="Times New Roman" w:hAnsi="Times New Roman" w:cs="Times New Roman"/>
          <w:sz w:val="24"/>
          <w:szCs w:val="24"/>
        </w:rPr>
        <w:t>anju osnovice plaća u prosvjeti te novog Zakona o plaćama i</w:t>
      </w:r>
      <w:r w:rsidRPr="00B40C93">
        <w:rPr>
          <w:rFonts w:ascii="Times New Roman" w:hAnsi="Times New Roman" w:cs="Times New Roman"/>
          <w:sz w:val="24"/>
          <w:szCs w:val="24"/>
        </w:rPr>
        <w:t xml:space="preserve"> </w:t>
      </w:r>
      <w:r w:rsidR="00EE6C0D">
        <w:rPr>
          <w:rFonts w:ascii="Times New Roman" w:hAnsi="Times New Roman" w:cs="Times New Roman"/>
          <w:sz w:val="24"/>
          <w:szCs w:val="24"/>
        </w:rPr>
        <w:t xml:space="preserve">uredbi o koeficijentima te povećanju božićnice i uvođenja uskrsnice </w:t>
      </w:r>
      <w:r w:rsidRPr="00B40C93">
        <w:rPr>
          <w:rFonts w:ascii="Times New Roman" w:hAnsi="Times New Roman" w:cs="Times New Roman"/>
          <w:sz w:val="24"/>
          <w:szCs w:val="24"/>
        </w:rPr>
        <w:t>blago je povećan iznos u projekciji za trogodišnje razdoblje.</w:t>
      </w:r>
    </w:p>
    <w:p w:rsidR="0081472D" w:rsidRDefault="0081472D" w:rsidP="00EE6C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72D" w:rsidRDefault="0081472D" w:rsidP="00EE6C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2D">
        <w:rPr>
          <w:rFonts w:ascii="Times New Roman" w:hAnsi="Times New Roman" w:cs="Times New Roman"/>
          <w:b/>
          <w:sz w:val="24"/>
          <w:szCs w:val="24"/>
        </w:rPr>
        <w:t>Program 2205 – srednje školstvo – iznad standarda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81472D" w:rsidRPr="001C248F" w:rsidTr="001E6FBD">
        <w:tc>
          <w:tcPr>
            <w:tcW w:w="1583" w:type="dxa"/>
            <w:shd w:val="clear" w:color="auto" w:fill="D9D9D9" w:themeFill="background1" w:themeFillShade="D9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Program</w:t>
            </w:r>
          </w:p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2025.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2026.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Indeks 2024/2023</w:t>
            </w:r>
          </w:p>
        </w:tc>
      </w:tr>
      <w:tr w:rsidR="0081472D" w:rsidRPr="001C248F" w:rsidTr="001E6FBD">
        <w:tc>
          <w:tcPr>
            <w:tcW w:w="1583" w:type="dxa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</w:t>
            </w:r>
          </w:p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63.836,49</w:t>
            </w:r>
          </w:p>
        </w:tc>
        <w:tc>
          <w:tcPr>
            <w:tcW w:w="1583" w:type="dxa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41.800,00</w:t>
            </w:r>
          </w:p>
        </w:tc>
        <w:tc>
          <w:tcPr>
            <w:tcW w:w="1583" w:type="dxa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42.845,00</w:t>
            </w:r>
          </w:p>
        </w:tc>
        <w:tc>
          <w:tcPr>
            <w:tcW w:w="1583" w:type="dxa"/>
          </w:tcPr>
          <w:p w:rsidR="0081472D" w:rsidRPr="001C248F" w:rsidRDefault="0081472D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43.916,15</w:t>
            </w:r>
          </w:p>
        </w:tc>
        <w:tc>
          <w:tcPr>
            <w:tcW w:w="1583" w:type="dxa"/>
          </w:tcPr>
          <w:p w:rsidR="0081472D" w:rsidRPr="001C248F" w:rsidRDefault="00A27887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65,48</w:t>
            </w:r>
          </w:p>
        </w:tc>
      </w:tr>
    </w:tbl>
    <w:p w:rsidR="0081472D" w:rsidRDefault="0081472D" w:rsidP="00EE6C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2D" w:rsidRDefault="0081472D" w:rsidP="00EE6C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programa</w:t>
      </w:r>
    </w:p>
    <w:p w:rsidR="0081472D" w:rsidRP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Program „ 2205 - Srednje školstvo – iznad standarda“ namijenjen je za podizanje kvalitete i</w:t>
      </w:r>
    </w:p>
    <w:p w:rsidR="0081472D" w:rsidRP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standarda u školstvu. Kroz navedeni program nastoji se podići nastavni standard na višu razinu,</w:t>
      </w:r>
    </w:p>
    <w:p w:rsidR="0081472D" w:rsidRP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uključiti učenike u što više aktivnosti, motivirati i povećati sposobnosti učenika njihovim</w:t>
      </w:r>
    </w:p>
    <w:p w:rsid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sudjelovanjem i radom.</w:t>
      </w:r>
      <w:r w:rsidRPr="0081472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Program 2205 provodi se kroz više aktivnosti, kao što su Javne potrebe u prosvjeti, Natjecanja i smotre, Projekt e-škole i slično i za njih sredstva planiraju nadležni</w:t>
      </w:r>
      <w:r w:rsidR="00900E2B">
        <w:rPr>
          <w:rFonts w:ascii="Times New Roman" w:hAnsi="Times New Roman" w:cs="Times New Roman"/>
          <w:sz w:val="24"/>
          <w:szCs w:val="24"/>
        </w:rPr>
        <w:t xml:space="preserve"> upravni odjel</w:t>
      </w:r>
      <w:r>
        <w:rPr>
          <w:rFonts w:ascii="Times New Roman" w:hAnsi="Times New Roman" w:cs="Times New Roman"/>
          <w:sz w:val="24"/>
          <w:szCs w:val="24"/>
        </w:rPr>
        <w:t>, a samo za sljedeću aktivnost prihode i rashode planira Škola u svom financijskom planu:</w:t>
      </w:r>
    </w:p>
    <w:p w:rsidR="0081472D" w:rsidRPr="0081472D" w:rsidRDefault="0081472D" w:rsidP="0081472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A2205-12 – Podizanje kvalitete i standarda u školstvu</w:t>
      </w:r>
    </w:p>
    <w:p w:rsidR="0081472D" w:rsidRP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2D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81472D" w:rsidRP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2D" w:rsidRP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1.</w:t>
      </w:r>
      <w:r w:rsidRPr="0081472D">
        <w:rPr>
          <w:rFonts w:ascii="Times New Roman" w:hAnsi="Times New Roman" w:cs="Times New Roman"/>
          <w:sz w:val="24"/>
          <w:szCs w:val="24"/>
        </w:rPr>
        <w:tab/>
        <w:t>Školski kurikulum</w:t>
      </w:r>
    </w:p>
    <w:p w:rsidR="0081472D" w:rsidRP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2.</w:t>
      </w:r>
      <w:r w:rsidRPr="0081472D">
        <w:rPr>
          <w:rFonts w:ascii="Times New Roman" w:hAnsi="Times New Roman" w:cs="Times New Roman"/>
          <w:sz w:val="24"/>
          <w:szCs w:val="24"/>
        </w:rPr>
        <w:tab/>
        <w:t>Zakon o ustanovama</w:t>
      </w:r>
    </w:p>
    <w:p w:rsidR="0081472D" w:rsidRDefault="0081472D" w:rsidP="0081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>3.</w:t>
      </w:r>
      <w:r w:rsidRPr="0081472D">
        <w:rPr>
          <w:rFonts w:ascii="Times New Roman" w:hAnsi="Times New Roman" w:cs="Times New Roman"/>
          <w:sz w:val="24"/>
          <w:szCs w:val="24"/>
        </w:rPr>
        <w:tab/>
        <w:t>Zakon o odgoju i obrazovanju</w:t>
      </w:r>
    </w:p>
    <w:p w:rsidR="00B70E99" w:rsidRDefault="00B70E99" w:rsidP="0081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E99" w:rsidRDefault="00B70E99" w:rsidP="00814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99">
        <w:rPr>
          <w:rFonts w:ascii="Times New Roman" w:hAnsi="Times New Roman" w:cs="Times New Roman"/>
          <w:b/>
          <w:sz w:val="24"/>
          <w:szCs w:val="24"/>
        </w:rPr>
        <w:t>Aktivnost A2205-12 - Podizanje kvalitete i standarda u školstvu</w:t>
      </w:r>
    </w:p>
    <w:p w:rsidR="00B70E99" w:rsidRDefault="00B70E99" w:rsidP="00814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B70E99" w:rsidRPr="001C248F" w:rsidTr="001E6FBD"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Aktivnost</w:t>
            </w:r>
          </w:p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2025.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2026.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B70E99" w:rsidRPr="001C248F" w:rsidRDefault="00B70E99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Indeks 2024/2023</w:t>
            </w:r>
          </w:p>
        </w:tc>
      </w:tr>
      <w:tr w:rsidR="00A27887" w:rsidRPr="001C248F" w:rsidTr="001E6FBD">
        <w:tc>
          <w:tcPr>
            <w:tcW w:w="1583" w:type="dxa"/>
          </w:tcPr>
          <w:p w:rsidR="00A27887" w:rsidRPr="001C248F" w:rsidRDefault="00DD1698" w:rsidP="00A27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A2205</w:t>
            </w:r>
            <w:r w:rsidR="00A27887" w:rsidRPr="001C248F">
              <w:rPr>
                <w:rFonts w:ascii="Times New Roman" w:hAnsi="Times New Roman" w:cs="Times New Roman"/>
              </w:rPr>
              <w:t>-01</w:t>
            </w:r>
          </w:p>
          <w:p w:rsidR="00A27887" w:rsidRPr="001C248F" w:rsidRDefault="00A27887" w:rsidP="00A278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A27887" w:rsidRPr="001C248F" w:rsidRDefault="00A27887" w:rsidP="00A27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63.836,49</w:t>
            </w:r>
          </w:p>
        </w:tc>
        <w:tc>
          <w:tcPr>
            <w:tcW w:w="1583" w:type="dxa"/>
          </w:tcPr>
          <w:p w:rsidR="00A27887" w:rsidRPr="001C248F" w:rsidRDefault="00A27887" w:rsidP="00A27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41.800,00</w:t>
            </w:r>
          </w:p>
        </w:tc>
        <w:tc>
          <w:tcPr>
            <w:tcW w:w="1583" w:type="dxa"/>
          </w:tcPr>
          <w:p w:rsidR="00A27887" w:rsidRPr="001C248F" w:rsidRDefault="00A27887" w:rsidP="00A27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42.845,00</w:t>
            </w:r>
          </w:p>
        </w:tc>
        <w:tc>
          <w:tcPr>
            <w:tcW w:w="1583" w:type="dxa"/>
          </w:tcPr>
          <w:p w:rsidR="00A27887" w:rsidRPr="001C248F" w:rsidRDefault="00A27887" w:rsidP="00A27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43.916,15</w:t>
            </w:r>
          </w:p>
        </w:tc>
        <w:tc>
          <w:tcPr>
            <w:tcW w:w="1583" w:type="dxa"/>
          </w:tcPr>
          <w:p w:rsidR="00A27887" w:rsidRPr="001C248F" w:rsidRDefault="00A27887" w:rsidP="00A278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65,48</w:t>
            </w:r>
          </w:p>
        </w:tc>
      </w:tr>
    </w:tbl>
    <w:p w:rsidR="00B70E99" w:rsidRDefault="00B70E99" w:rsidP="00814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3A2" w:rsidRDefault="00C833A2" w:rsidP="00814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aktivnosti </w:t>
      </w:r>
    </w:p>
    <w:p w:rsidR="00C833A2" w:rsidRDefault="00C833A2" w:rsidP="00814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BC8" w:rsidRDefault="009A3C54" w:rsidP="00A2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aktivnost A2205 škola ostvaruje prihode </w:t>
      </w:r>
      <w:r w:rsidR="00A27887" w:rsidRPr="00A27887">
        <w:rPr>
          <w:rFonts w:ascii="Times New Roman" w:hAnsi="Times New Roman" w:cs="Times New Roman"/>
          <w:sz w:val="24"/>
          <w:szCs w:val="24"/>
        </w:rPr>
        <w:t>obavljanjem poslova na tržištu, a to su: namjenski prihodi (izda</w:t>
      </w:r>
      <w:r>
        <w:rPr>
          <w:rFonts w:ascii="Times New Roman" w:hAnsi="Times New Roman" w:cs="Times New Roman"/>
          <w:sz w:val="24"/>
          <w:szCs w:val="24"/>
        </w:rPr>
        <w:t xml:space="preserve">vanje duplikata svjedodžbi), </w:t>
      </w:r>
      <w:r w:rsidR="00D61F60">
        <w:rPr>
          <w:rFonts w:ascii="Times New Roman" w:hAnsi="Times New Roman" w:cs="Times New Roman"/>
          <w:sz w:val="24"/>
          <w:szCs w:val="24"/>
        </w:rPr>
        <w:t xml:space="preserve">vlastit prihodi: </w:t>
      </w:r>
      <w:r w:rsidR="00A27887" w:rsidRPr="00A27887">
        <w:rPr>
          <w:rFonts w:ascii="Times New Roman" w:hAnsi="Times New Roman" w:cs="Times New Roman"/>
          <w:sz w:val="24"/>
          <w:szCs w:val="24"/>
        </w:rPr>
        <w:t xml:space="preserve">najam dvorane, najam prostora </w:t>
      </w:r>
      <w:r w:rsidR="00A27887">
        <w:rPr>
          <w:rFonts w:ascii="Times New Roman" w:hAnsi="Times New Roman" w:cs="Times New Roman"/>
          <w:sz w:val="24"/>
          <w:szCs w:val="24"/>
        </w:rPr>
        <w:t>za tople napitke</w:t>
      </w:r>
      <w:r w:rsidR="00A27887" w:rsidRPr="00A278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pružanje usluga cateringa za različite prigode </w:t>
      </w:r>
      <w:r w:rsidR="00A27887" w:rsidRPr="00A27887">
        <w:rPr>
          <w:rFonts w:ascii="Times New Roman" w:hAnsi="Times New Roman" w:cs="Times New Roman"/>
          <w:sz w:val="24"/>
          <w:szCs w:val="24"/>
        </w:rPr>
        <w:t>ili najam praktikuma za polaganje majstorskih ispita. Novčana sredstva uplaćuju se na jedinstveni račun Zadarske županije, što je definirano čl. 60 Zakona o Proračunu (NN 87/08, 136/12, 15/15, 144/21). Kroz sustav Županijske riznice osigurani su svi podaci na temelju kojih se prati ostvarivanje planiranih prihoda i rashoda. Ukoliko se ne utroše sva sredstva, napravit će se plan uravnoteženja, a višak ostvarenog prihoda rasporedit će se u iduću proračunsku godinu.</w:t>
      </w:r>
      <w:r w:rsidR="00A27887">
        <w:rPr>
          <w:rFonts w:ascii="Times New Roman" w:hAnsi="Times New Roman" w:cs="Times New Roman"/>
          <w:sz w:val="24"/>
          <w:szCs w:val="24"/>
        </w:rPr>
        <w:t xml:space="preserve"> </w:t>
      </w:r>
      <w:r w:rsidR="00A27887" w:rsidRPr="00A27887">
        <w:rPr>
          <w:rFonts w:ascii="Times New Roman" w:hAnsi="Times New Roman" w:cs="Times New Roman"/>
          <w:sz w:val="24"/>
          <w:szCs w:val="24"/>
        </w:rPr>
        <w:t xml:space="preserve">Sva </w:t>
      </w:r>
      <w:r w:rsidR="00A27887" w:rsidRPr="00A27887">
        <w:rPr>
          <w:rFonts w:ascii="Times New Roman" w:hAnsi="Times New Roman" w:cs="Times New Roman"/>
          <w:sz w:val="24"/>
          <w:szCs w:val="24"/>
        </w:rPr>
        <w:lastRenderedPageBreak/>
        <w:t>sredstva Škole troše se zakonski i namje</w:t>
      </w:r>
      <w:r w:rsidR="00D61F60">
        <w:rPr>
          <w:rFonts w:ascii="Times New Roman" w:hAnsi="Times New Roman" w:cs="Times New Roman"/>
          <w:sz w:val="24"/>
          <w:szCs w:val="24"/>
        </w:rPr>
        <w:t xml:space="preserve">nski i </w:t>
      </w:r>
      <w:r w:rsidR="00A27887" w:rsidRPr="00A27887">
        <w:rPr>
          <w:rFonts w:ascii="Times New Roman" w:hAnsi="Times New Roman" w:cs="Times New Roman"/>
          <w:sz w:val="24"/>
          <w:szCs w:val="24"/>
        </w:rPr>
        <w:t>k</w:t>
      </w:r>
      <w:r w:rsidR="00A27887">
        <w:rPr>
          <w:rFonts w:ascii="Times New Roman" w:hAnsi="Times New Roman" w:cs="Times New Roman"/>
          <w:sz w:val="24"/>
          <w:szCs w:val="24"/>
        </w:rPr>
        <w:t>oriste</w:t>
      </w:r>
      <w:r w:rsidR="00D61F60">
        <w:rPr>
          <w:rFonts w:ascii="Times New Roman" w:hAnsi="Times New Roman" w:cs="Times New Roman"/>
          <w:sz w:val="24"/>
          <w:szCs w:val="24"/>
        </w:rPr>
        <w:t xml:space="preserve"> se</w:t>
      </w:r>
      <w:r w:rsidR="00A27887">
        <w:rPr>
          <w:rFonts w:ascii="Times New Roman" w:hAnsi="Times New Roman" w:cs="Times New Roman"/>
          <w:sz w:val="24"/>
          <w:szCs w:val="24"/>
        </w:rPr>
        <w:t xml:space="preserve"> za unaprjeđenje nastavno – </w:t>
      </w:r>
      <w:r w:rsidR="00A27887" w:rsidRPr="00A27887">
        <w:rPr>
          <w:rFonts w:ascii="Times New Roman" w:hAnsi="Times New Roman" w:cs="Times New Roman"/>
          <w:sz w:val="24"/>
          <w:szCs w:val="24"/>
        </w:rPr>
        <w:t>obrazovnog pr</w:t>
      </w:r>
      <w:r w:rsidR="00D61F60">
        <w:rPr>
          <w:rFonts w:ascii="Times New Roman" w:hAnsi="Times New Roman" w:cs="Times New Roman"/>
          <w:sz w:val="24"/>
          <w:szCs w:val="24"/>
        </w:rPr>
        <w:t>ocesa, administrativnih procesa</w:t>
      </w:r>
      <w:r w:rsidR="00A27887" w:rsidRPr="00A27887">
        <w:rPr>
          <w:rFonts w:ascii="Times New Roman" w:hAnsi="Times New Roman" w:cs="Times New Roman"/>
          <w:sz w:val="24"/>
          <w:szCs w:val="24"/>
        </w:rPr>
        <w:t xml:space="preserve"> te redovnog i izvanrednog održavanja prostora unutar i van Škole. </w:t>
      </w:r>
    </w:p>
    <w:p w:rsidR="00D61F60" w:rsidRDefault="00D61F60" w:rsidP="00A2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planirana su sredstva iz Državnog proračuna, odnosno pomoći iz Ministarstva znanosti i obrazovanja, na temelju uplata iz prethodnih godina, a za primjerice </w:t>
      </w:r>
      <w:r w:rsidRPr="00D61F60">
        <w:rPr>
          <w:rFonts w:ascii="Times New Roman" w:hAnsi="Times New Roman" w:cs="Times New Roman"/>
          <w:sz w:val="24"/>
          <w:szCs w:val="24"/>
        </w:rPr>
        <w:t>besplatne udžbenike učenicima slabijeg socio-ekonomskog statusa, naknadu za prijevoz učenicima s posebnim potreba, novčana sredstva za opremanje knjižnica (lektire, stručna i nastavna literatura) i drugo</w:t>
      </w:r>
      <w:r w:rsidR="0062448A">
        <w:rPr>
          <w:rFonts w:ascii="Times New Roman" w:hAnsi="Times New Roman" w:cs="Times New Roman"/>
          <w:sz w:val="24"/>
          <w:szCs w:val="24"/>
        </w:rPr>
        <w:t>.</w:t>
      </w:r>
    </w:p>
    <w:p w:rsidR="00D61F60" w:rsidRDefault="00D61F60" w:rsidP="00A2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60" w:rsidRDefault="00D61F60" w:rsidP="00D6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0">
        <w:rPr>
          <w:rFonts w:ascii="Times New Roman" w:hAnsi="Times New Roman" w:cs="Times New Roman"/>
          <w:sz w:val="24"/>
          <w:szCs w:val="24"/>
        </w:rPr>
        <w:t>Škola je planirala rashode na razini aktivnosti za</w:t>
      </w:r>
      <w:r>
        <w:rPr>
          <w:rFonts w:ascii="Times New Roman" w:hAnsi="Times New Roman" w:cs="Times New Roman"/>
          <w:sz w:val="24"/>
          <w:szCs w:val="24"/>
        </w:rPr>
        <w:t xml:space="preserve"> 2024. godinu u iznosu od 41.800,00 eura, </w:t>
      </w:r>
      <w:r w:rsidR="00900E2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dosta manje</w:t>
      </w:r>
      <w:r w:rsidR="00900E2B">
        <w:rPr>
          <w:rFonts w:ascii="Times New Roman" w:hAnsi="Times New Roman" w:cs="Times New Roman"/>
          <w:sz w:val="24"/>
          <w:szCs w:val="24"/>
        </w:rPr>
        <w:t>m iznosu u odnosu na 2023. godinu</w:t>
      </w:r>
      <w:r>
        <w:rPr>
          <w:rFonts w:ascii="Times New Roman" w:hAnsi="Times New Roman" w:cs="Times New Roman"/>
          <w:sz w:val="24"/>
          <w:szCs w:val="24"/>
        </w:rPr>
        <w:t xml:space="preserve"> jer više neće biti isplata po </w:t>
      </w:r>
      <w:r w:rsidR="0062448A" w:rsidRPr="00266CF0">
        <w:rPr>
          <w:rFonts w:ascii="Times New Roman" w:hAnsi="Times New Roman" w:cs="Times New Roman"/>
          <w:sz w:val="24"/>
          <w:szCs w:val="24"/>
        </w:rPr>
        <w:t xml:space="preserve">sudskih sporova zbog neisplaćenog dijela osnovice </w:t>
      </w:r>
      <w:r w:rsidR="00C833A2">
        <w:rPr>
          <w:rFonts w:ascii="Times New Roman" w:hAnsi="Times New Roman" w:cs="Times New Roman"/>
          <w:sz w:val="24"/>
          <w:szCs w:val="24"/>
        </w:rPr>
        <w:t>za izračun plaće u iznosu od 6%.</w:t>
      </w:r>
    </w:p>
    <w:p w:rsidR="00D61F60" w:rsidRDefault="00D61F60" w:rsidP="00D6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60" w:rsidRPr="00590100" w:rsidRDefault="00590100" w:rsidP="00D61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100">
        <w:rPr>
          <w:rFonts w:ascii="Times New Roman" w:hAnsi="Times New Roman" w:cs="Times New Roman"/>
          <w:b/>
          <w:sz w:val="24"/>
          <w:szCs w:val="24"/>
        </w:rPr>
        <w:t>Program 4306 – Nacionalni EU projekti</w:t>
      </w:r>
    </w:p>
    <w:p w:rsidR="00590100" w:rsidRDefault="00590100" w:rsidP="00D6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590100" w:rsidRPr="001C248F" w:rsidTr="001E6FBD">
        <w:tc>
          <w:tcPr>
            <w:tcW w:w="1583" w:type="dxa"/>
            <w:shd w:val="clear" w:color="auto" w:fill="D9D9D9" w:themeFill="background1" w:themeFillShade="D9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Program</w:t>
            </w:r>
          </w:p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2025.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2026.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Indeks 2024/2023</w:t>
            </w:r>
          </w:p>
        </w:tc>
      </w:tr>
      <w:tr w:rsidR="00590100" w:rsidRPr="001C248F" w:rsidTr="001E6FBD">
        <w:tc>
          <w:tcPr>
            <w:tcW w:w="1583" w:type="dxa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4306</w:t>
            </w:r>
          </w:p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14.729,79</w:t>
            </w:r>
          </w:p>
        </w:tc>
        <w:tc>
          <w:tcPr>
            <w:tcW w:w="1583" w:type="dxa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5.506,00</w:t>
            </w:r>
          </w:p>
        </w:tc>
        <w:tc>
          <w:tcPr>
            <w:tcW w:w="1583" w:type="dxa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3" w:type="dxa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3" w:type="dxa"/>
          </w:tcPr>
          <w:p w:rsidR="00590100" w:rsidRPr="001C248F" w:rsidRDefault="00590100" w:rsidP="001E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37,38</w:t>
            </w:r>
          </w:p>
        </w:tc>
      </w:tr>
    </w:tbl>
    <w:p w:rsidR="00D61F60" w:rsidRDefault="00D61F60" w:rsidP="00D61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E2B" w:rsidRDefault="00900E2B" w:rsidP="00D61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programa</w:t>
      </w:r>
    </w:p>
    <w:p w:rsidR="00900E2B" w:rsidRDefault="00900E2B" w:rsidP="00D61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E2B" w:rsidRDefault="00900E2B" w:rsidP="00DA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2D">
        <w:rPr>
          <w:rFonts w:ascii="Times New Roman" w:hAnsi="Times New Roman" w:cs="Times New Roman"/>
          <w:sz w:val="24"/>
          <w:szCs w:val="24"/>
        </w:rPr>
        <w:t xml:space="preserve">Program „ </w:t>
      </w:r>
      <w:r>
        <w:rPr>
          <w:rFonts w:ascii="Times New Roman" w:hAnsi="Times New Roman" w:cs="Times New Roman"/>
          <w:sz w:val="24"/>
          <w:szCs w:val="24"/>
        </w:rPr>
        <w:t>4306 – Nacionalni EU projekti</w:t>
      </w:r>
      <w:r w:rsidRPr="0081472D">
        <w:rPr>
          <w:rFonts w:ascii="Times New Roman" w:hAnsi="Times New Roman" w:cs="Times New Roman"/>
          <w:sz w:val="24"/>
          <w:szCs w:val="24"/>
        </w:rPr>
        <w:t xml:space="preserve">“ </w:t>
      </w:r>
      <w:r w:rsidR="000801D2">
        <w:rPr>
          <w:rFonts w:ascii="Times New Roman" w:hAnsi="Times New Roman" w:cs="Times New Roman"/>
          <w:sz w:val="24"/>
          <w:szCs w:val="24"/>
        </w:rPr>
        <w:t xml:space="preserve">namijenjena je financiranju Erasmus+ projekta 'Različiti zajedno' s kojim se omogućuje nastavnica sudjelovanje na različitim tečajevima kako bi ojačali svoja znanja i vještine u radu s djecom s posebnim potrebama. </w:t>
      </w:r>
    </w:p>
    <w:p w:rsidR="000801D2" w:rsidRDefault="000801D2" w:rsidP="00DA3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pod ovaj program spada i projekt T4301-67 –Inkluzija – </w:t>
      </w:r>
      <w:r w:rsidRPr="000801D2">
        <w:rPr>
          <w:rFonts w:ascii="Times New Roman" w:hAnsi="Times New Roman" w:cs="Times New Roman"/>
          <w:sz w:val="24"/>
          <w:szCs w:val="24"/>
        </w:rPr>
        <w:t>korak bliže društvu bez prepreka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EE9">
        <w:rPr>
          <w:rFonts w:ascii="Times New Roman" w:hAnsi="Times New Roman" w:cs="Times New Roman"/>
          <w:sz w:val="24"/>
          <w:szCs w:val="24"/>
        </w:rPr>
        <w:t xml:space="preserve"> u  kojem se osiguravanju sredstva za plaće pomoćnika u nastavi s ciljem</w:t>
      </w:r>
      <w:r w:rsidR="00DA3EE9" w:rsidRPr="00DA3EE9">
        <w:rPr>
          <w:rFonts w:ascii="Times New Roman" w:hAnsi="Times New Roman" w:cs="Times New Roman"/>
          <w:sz w:val="24"/>
          <w:szCs w:val="24"/>
        </w:rPr>
        <w:t xml:space="preserve"> </w:t>
      </w:r>
      <w:r w:rsidR="00DA3EE9">
        <w:rPr>
          <w:rFonts w:ascii="Times New Roman" w:hAnsi="Times New Roman" w:cs="Times New Roman"/>
          <w:sz w:val="24"/>
          <w:szCs w:val="24"/>
        </w:rPr>
        <w:t xml:space="preserve">pružanja potpore uključivanju učenika s teškoćama u razvoju u njima primjerene programe odgoja i obrazovanja u osnovnoškolskim i srednjoškolskim odgojno – obrazovnim ustanovama. Za navedeni projekt Škola ne radi plan, jer je za </w:t>
      </w:r>
      <w:r>
        <w:rPr>
          <w:rFonts w:ascii="Times New Roman" w:hAnsi="Times New Roman" w:cs="Times New Roman"/>
          <w:sz w:val="24"/>
          <w:szCs w:val="24"/>
        </w:rPr>
        <w:t>njegovo planiranje zadužena vanjska Agencija.</w:t>
      </w:r>
    </w:p>
    <w:p w:rsidR="00DA3EE9" w:rsidRDefault="00DA3EE9" w:rsidP="00DA3E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tako, Škola sudjeluje u programu 4301 – Razvojni projekti EU, a projektu T4301-67 – Projekt pomoćnici u nastavi. Svrha navedenog projekta ista je kao i kod projekta T4301-67, samo što se navedeni projekt financira iz sredstva Zadarske županije i za njegovo planiranje također je zadužena vanjska Agencija.</w:t>
      </w:r>
    </w:p>
    <w:p w:rsidR="002E70BF" w:rsidRDefault="002E70BF" w:rsidP="00D61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0BF" w:rsidRDefault="002E70BF" w:rsidP="00D61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T4306-16 – Projekt Erasmus+ Različiti zajedno</w:t>
      </w:r>
    </w:p>
    <w:p w:rsidR="002E70BF" w:rsidRDefault="002E70BF" w:rsidP="00D61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1583"/>
        <w:gridCol w:w="1583"/>
        <w:gridCol w:w="1583"/>
        <w:gridCol w:w="1583"/>
        <w:gridCol w:w="1583"/>
        <w:gridCol w:w="1583"/>
      </w:tblGrid>
      <w:tr w:rsidR="002E70BF" w:rsidRPr="001C248F" w:rsidTr="001E6FBD">
        <w:tc>
          <w:tcPr>
            <w:tcW w:w="1583" w:type="dxa"/>
            <w:shd w:val="clear" w:color="auto" w:fill="D9D9D9" w:themeFill="background1" w:themeFillShade="D9"/>
          </w:tcPr>
          <w:p w:rsidR="002E70BF" w:rsidRPr="001C248F" w:rsidRDefault="002E70BF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Aktivnost</w:t>
            </w:r>
          </w:p>
          <w:p w:rsidR="002E70BF" w:rsidRPr="001C248F" w:rsidRDefault="002E70BF" w:rsidP="001E6F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</w:tcPr>
          <w:p w:rsidR="002E70BF" w:rsidRPr="001C248F" w:rsidRDefault="002E70BF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2E70BF" w:rsidRPr="001C248F" w:rsidRDefault="002E70BF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2E70BF" w:rsidRPr="001C248F" w:rsidRDefault="002E70BF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2025.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2E70BF" w:rsidRPr="001C248F" w:rsidRDefault="002E70BF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Procjena 2026.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2E70BF" w:rsidRPr="001C248F" w:rsidRDefault="002E70BF" w:rsidP="001E6FBD">
            <w:pPr>
              <w:jc w:val="both"/>
              <w:rPr>
                <w:rFonts w:ascii="Times New Roman" w:hAnsi="Times New Roman" w:cs="Times New Roman"/>
              </w:rPr>
            </w:pPr>
            <w:r w:rsidRPr="001C248F">
              <w:rPr>
                <w:rFonts w:ascii="Times New Roman" w:hAnsi="Times New Roman" w:cs="Times New Roman"/>
              </w:rPr>
              <w:t>Indeks 2024/2023</w:t>
            </w:r>
          </w:p>
        </w:tc>
      </w:tr>
      <w:tr w:rsidR="002E70BF" w:rsidRPr="001C248F" w:rsidTr="001E6FBD">
        <w:tc>
          <w:tcPr>
            <w:tcW w:w="1583" w:type="dxa"/>
          </w:tcPr>
          <w:p w:rsidR="002E70BF" w:rsidRPr="001C248F" w:rsidRDefault="00900E2B" w:rsidP="002E70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T4306-16</w:t>
            </w:r>
          </w:p>
          <w:p w:rsidR="002E70BF" w:rsidRPr="001C248F" w:rsidRDefault="002E70BF" w:rsidP="002E70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2E70BF" w:rsidRPr="001C248F" w:rsidRDefault="002E70BF" w:rsidP="002E70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14.729,79</w:t>
            </w:r>
          </w:p>
        </w:tc>
        <w:tc>
          <w:tcPr>
            <w:tcW w:w="1583" w:type="dxa"/>
          </w:tcPr>
          <w:p w:rsidR="002E70BF" w:rsidRPr="001C248F" w:rsidRDefault="002E70BF" w:rsidP="002E70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5.506,00</w:t>
            </w:r>
          </w:p>
        </w:tc>
        <w:tc>
          <w:tcPr>
            <w:tcW w:w="1583" w:type="dxa"/>
          </w:tcPr>
          <w:p w:rsidR="002E70BF" w:rsidRPr="001C248F" w:rsidRDefault="002E70BF" w:rsidP="002E70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3" w:type="dxa"/>
          </w:tcPr>
          <w:p w:rsidR="002E70BF" w:rsidRPr="001C248F" w:rsidRDefault="002E70BF" w:rsidP="002E70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3" w:type="dxa"/>
          </w:tcPr>
          <w:p w:rsidR="002E70BF" w:rsidRPr="001C248F" w:rsidRDefault="002E70BF" w:rsidP="002E70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37,38</w:t>
            </w:r>
          </w:p>
        </w:tc>
      </w:tr>
    </w:tbl>
    <w:p w:rsidR="002E70BF" w:rsidRDefault="002E70BF" w:rsidP="00D61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F60" w:rsidRDefault="00590100" w:rsidP="00D61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100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2E70BF">
        <w:rPr>
          <w:rFonts w:ascii="Times New Roman" w:hAnsi="Times New Roman" w:cs="Times New Roman"/>
          <w:b/>
          <w:sz w:val="24"/>
          <w:szCs w:val="24"/>
        </w:rPr>
        <w:t>projekta</w:t>
      </w:r>
    </w:p>
    <w:p w:rsidR="00D61F60" w:rsidRDefault="00D61F60" w:rsidP="005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100" w:rsidRPr="00590100" w:rsidRDefault="00590100" w:rsidP="005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00">
        <w:rPr>
          <w:rFonts w:ascii="Times New Roman" w:hAnsi="Times New Roman" w:cs="Times New Roman"/>
          <w:sz w:val="24"/>
          <w:szCs w:val="24"/>
        </w:rPr>
        <w:t>U kolovozu 2022. godine je potpisan ugovor o dodjeli bes</w:t>
      </w:r>
      <w:r w:rsidR="004237D6">
        <w:rPr>
          <w:rFonts w:ascii="Times New Roman" w:hAnsi="Times New Roman" w:cs="Times New Roman"/>
          <w:sz w:val="24"/>
          <w:szCs w:val="24"/>
        </w:rPr>
        <w:t>povratnih sredstava  za Erasmus</w:t>
      </w:r>
      <w:r w:rsidRPr="00590100">
        <w:rPr>
          <w:rFonts w:ascii="Times New Roman" w:hAnsi="Times New Roman" w:cs="Times New Roman"/>
          <w:sz w:val="24"/>
          <w:szCs w:val="24"/>
        </w:rPr>
        <w:t xml:space="preserve">+ KA1 </w:t>
      </w:r>
      <w:r w:rsidR="004237D6">
        <w:rPr>
          <w:rFonts w:ascii="Times New Roman" w:hAnsi="Times New Roman" w:cs="Times New Roman"/>
          <w:sz w:val="24"/>
          <w:szCs w:val="24"/>
        </w:rPr>
        <w:t>projekt 'Različiti zajedno' koja se provodi</w:t>
      </w:r>
      <w:r w:rsidRPr="00590100">
        <w:rPr>
          <w:rFonts w:ascii="Times New Roman" w:hAnsi="Times New Roman" w:cs="Times New Roman"/>
          <w:sz w:val="24"/>
          <w:szCs w:val="24"/>
        </w:rPr>
        <w:t xml:space="preserve"> u Hotelijersko- turističkoj i ugostiteljskoj školi Zadar tokom 2022., 2023. i 2024. godine. Uplaćeno je 80% odobrenih sredstava za provedbu projekta i to u iznosu od </w:t>
      </w:r>
      <w:r w:rsidR="004237D6">
        <w:rPr>
          <w:rFonts w:ascii="Times New Roman" w:hAnsi="Times New Roman" w:cs="Times New Roman"/>
          <w:sz w:val="24"/>
          <w:szCs w:val="24"/>
        </w:rPr>
        <w:t xml:space="preserve">21.937,77 eura (izvorno </w:t>
      </w:r>
      <w:r w:rsidRPr="00590100">
        <w:rPr>
          <w:rFonts w:ascii="Times New Roman" w:hAnsi="Times New Roman" w:cs="Times New Roman"/>
          <w:sz w:val="24"/>
          <w:szCs w:val="24"/>
        </w:rPr>
        <w:t>165.290,12 kn</w:t>
      </w:r>
      <w:r w:rsidR="004237D6">
        <w:rPr>
          <w:rFonts w:ascii="Times New Roman" w:hAnsi="Times New Roman" w:cs="Times New Roman"/>
          <w:sz w:val="24"/>
          <w:szCs w:val="24"/>
        </w:rPr>
        <w:t>)</w:t>
      </w:r>
      <w:r w:rsidRPr="00590100">
        <w:rPr>
          <w:rFonts w:ascii="Times New Roman" w:hAnsi="Times New Roman" w:cs="Times New Roman"/>
          <w:sz w:val="24"/>
          <w:szCs w:val="24"/>
        </w:rPr>
        <w:t xml:space="preserve">. Planirane pozicije za 2023. godinu se odnose </w:t>
      </w:r>
      <w:r w:rsidR="004237D6">
        <w:rPr>
          <w:rFonts w:ascii="Times New Roman" w:hAnsi="Times New Roman" w:cs="Times New Roman"/>
          <w:sz w:val="24"/>
          <w:szCs w:val="24"/>
        </w:rPr>
        <w:t xml:space="preserve">na troškove službenih putovanja </w:t>
      </w:r>
      <w:r w:rsidRPr="00590100">
        <w:rPr>
          <w:rFonts w:ascii="Times New Roman" w:hAnsi="Times New Roman" w:cs="Times New Roman"/>
          <w:sz w:val="24"/>
          <w:szCs w:val="24"/>
        </w:rPr>
        <w:t xml:space="preserve">te troškove kotizacija za stručna </w:t>
      </w:r>
      <w:r w:rsidR="004237D6">
        <w:rPr>
          <w:rFonts w:ascii="Times New Roman" w:hAnsi="Times New Roman" w:cs="Times New Roman"/>
          <w:sz w:val="24"/>
          <w:szCs w:val="24"/>
        </w:rPr>
        <w:t xml:space="preserve">usavršavanja. </w:t>
      </w:r>
      <w:r w:rsidRPr="00590100">
        <w:rPr>
          <w:rFonts w:ascii="Times New Roman" w:hAnsi="Times New Roman" w:cs="Times New Roman"/>
          <w:sz w:val="24"/>
          <w:szCs w:val="24"/>
        </w:rPr>
        <w:t xml:space="preserve">Svrha projekta je organizirati timove za inkluzivno učenje, ojačati nastavničke kompetencije u metodologiji rada s učenicima s poteškoćama (u posebnim razrednim </w:t>
      </w:r>
      <w:r w:rsidRPr="00590100">
        <w:rPr>
          <w:rFonts w:ascii="Times New Roman" w:hAnsi="Times New Roman" w:cs="Times New Roman"/>
          <w:sz w:val="24"/>
          <w:szCs w:val="24"/>
        </w:rPr>
        <w:lastRenderedPageBreak/>
        <w:t>odjeljenjima i u redovnoj nastavi), educirati sve učenike o toleranciji, empatiji, asertivnoj komunikaciji i prihvaćanju različitosti i jedinstvenosti pojedinca. Aktivnosti se odnose na nastavničke mobilnosti i diseminaciju evaluacija. Pokazatelji uspješnosti se odnose na nastavnike koji će biti uključeni u mobilnosti (13 nastavnika) te broj nastavnika koji će biti obuhvaćeni edukacijama putem kolegijalne podrške te učenici koji će također biti uključeni u projekt putem radionica.</w:t>
      </w:r>
    </w:p>
    <w:p w:rsidR="00D61F60" w:rsidRDefault="00590100" w:rsidP="005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00">
        <w:rPr>
          <w:rFonts w:ascii="Times New Roman" w:hAnsi="Times New Roman" w:cs="Times New Roman"/>
          <w:sz w:val="24"/>
          <w:szCs w:val="24"/>
        </w:rPr>
        <w:t>Iako se prvotno planiralo krenuti s projektom početkom 2023. godine prva mobilnost odvila se krajem 2022. go</w:t>
      </w:r>
      <w:r w:rsidR="004237D6">
        <w:rPr>
          <w:rFonts w:ascii="Times New Roman" w:hAnsi="Times New Roman" w:cs="Times New Roman"/>
          <w:sz w:val="24"/>
          <w:szCs w:val="24"/>
        </w:rPr>
        <w:t>dine putovanjem u Dublin, Irsku te je u planu do kraja 2023. godine provesti sve mobilnosti nastavnika, a u 2024. godini Škola bi trebala dobiti preostalih 20 % prihoda.</w:t>
      </w:r>
    </w:p>
    <w:p w:rsidR="002E2B4E" w:rsidRDefault="000801D2" w:rsidP="00465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65667">
        <w:rPr>
          <w:rFonts w:ascii="Times New Roman" w:hAnsi="Times New Roman" w:cs="Times New Roman"/>
          <w:sz w:val="24"/>
          <w:szCs w:val="24"/>
        </w:rPr>
        <w:t xml:space="preserve">izija Škole je, kontinuiranim razvojem sustava kvalitete odgoja i obrazovanja postati prepoznatljiva škola kao uspješna, sigurna, poticajna i pouzdana za sve učenike, nastavnike i roditelje. I nadalje će učenike poticati na izražavanje kreativnosti, talenata i sposobnosti kroz uključivanje u slobodne aktivnosti, natjecanja te druge projekte. Tijekom 2023. godine naši učenici zajedno s predmetnim nastavnicima sudjelovali su u raznim projektima i organizaciji izložbi. </w:t>
      </w:r>
    </w:p>
    <w:p w:rsidR="001F3CDF" w:rsidRDefault="001F3CDF" w:rsidP="00465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60" w:rsidRDefault="002E2B4E" w:rsidP="005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B4E">
        <w:rPr>
          <w:rFonts w:ascii="Times New Roman" w:hAnsi="Times New Roman" w:cs="Times New Roman"/>
          <w:sz w:val="24"/>
          <w:szCs w:val="24"/>
        </w:rPr>
        <w:t>Škola će i dalje odgovorno, zakonito, namjenski, transparentno i svrhovito koristiti proračunska sredstva, kroz pravilno planiranje i kontrolu izvršavanja financijskog plana, a zbog teškog stanja u gospodarstvu nastavit će se mjere racionalizacije i štednje na svim stavkama plana.</w:t>
      </w:r>
    </w:p>
    <w:p w:rsidR="00D61F60" w:rsidRDefault="00D61F60" w:rsidP="005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CDF" w:rsidRDefault="001F3CDF" w:rsidP="005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60" w:rsidRPr="002E2B4E" w:rsidRDefault="002E2B4E" w:rsidP="005901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1F60" w:rsidRDefault="002E2B4E" w:rsidP="005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sz w:val="24"/>
          <w:szCs w:val="24"/>
        </w:rPr>
        <w:t>Ravnateljica</w:t>
      </w:r>
    </w:p>
    <w:p w:rsidR="002E2B4E" w:rsidRPr="002E2B4E" w:rsidRDefault="002E2B4E" w:rsidP="005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60" w:rsidRPr="00D61F60" w:rsidRDefault="002E2B4E" w:rsidP="00590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E2B4E">
        <w:rPr>
          <w:rFonts w:ascii="Times New Roman" w:hAnsi="Times New Roman" w:cs="Times New Roman"/>
          <w:b/>
          <w:sz w:val="24"/>
          <w:szCs w:val="24"/>
        </w:rPr>
        <w:t>Diana Radić Škara</w:t>
      </w:r>
      <w:r>
        <w:rPr>
          <w:rFonts w:ascii="Times New Roman" w:hAnsi="Times New Roman" w:cs="Times New Roman"/>
          <w:b/>
          <w:sz w:val="24"/>
          <w:szCs w:val="24"/>
        </w:rPr>
        <w:t>, prof.</w:t>
      </w:r>
    </w:p>
    <w:sectPr w:rsidR="00D61F60" w:rsidRPr="00D6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D1A"/>
    <w:multiLevelType w:val="hybridMultilevel"/>
    <w:tmpl w:val="109EDC9C"/>
    <w:lvl w:ilvl="0" w:tplc="3B9062BC">
      <w:start w:val="636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2DB2"/>
    <w:multiLevelType w:val="hybridMultilevel"/>
    <w:tmpl w:val="FFE803D2"/>
    <w:lvl w:ilvl="0" w:tplc="3B9062BC">
      <w:start w:val="636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14645"/>
    <w:multiLevelType w:val="hybridMultilevel"/>
    <w:tmpl w:val="354AC840"/>
    <w:lvl w:ilvl="0" w:tplc="3BF47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A5D1F"/>
    <w:multiLevelType w:val="hybridMultilevel"/>
    <w:tmpl w:val="4814BB9E"/>
    <w:lvl w:ilvl="0" w:tplc="3BF47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BD"/>
    <w:rsid w:val="00023F2C"/>
    <w:rsid w:val="000801D2"/>
    <w:rsid w:val="00124111"/>
    <w:rsid w:val="001C248F"/>
    <w:rsid w:val="001E7E25"/>
    <w:rsid w:val="001F3CDF"/>
    <w:rsid w:val="002E2B4E"/>
    <w:rsid w:val="002E70BF"/>
    <w:rsid w:val="003C7C3B"/>
    <w:rsid w:val="004237D6"/>
    <w:rsid w:val="00442FEF"/>
    <w:rsid w:val="00465667"/>
    <w:rsid w:val="0047705F"/>
    <w:rsid w:val="004E1DC7"/>
    <w:rsid w:val="00522BC8"/>
    <w:rsid w:val="00590100"/>
    <w:rsid w:val="005C1A6B"/>
    <w:rsid w:val="0062448A"/>
    <w:rsid w:val="007C72BD"/>
    <w:rsid w:val="0081472D"/>
    <w:rsid w:val="008E415B"/>
    <w:rsid w:val="00900E2B"/>
    <w:rsid w:val="00905F47"/>
    <w:rsid w:val="009A3C54"/>
    <w:rsid w:val="009C0555"/>
    <w:rsid w:val="00A27887"/>
    <w:rsid w:val="00B04EAD"/>
    <w:rsid w:val="00B12255"/>
    <w:rsid w:val="00B40C93"/>
    <w:rsid w:val="00B61062"/>
    <w:rsid w:val="00B70E99"/>
    <w:rsid w:val="00BA59E2"/>
    <w:rsid w:val="00C60287"/>
    <w:rsid w:val="00C833A2"/>
    <w:rsid w:val="00C869DB"/>
    <w:rsid w:val="00D30341"/>
    <w:rsid w:val="00D61F60"/>
    <w:rsid w:val="00DA3EE9"/>
    <w:rsid w:val="00DD1698"/>
    <w:rsid w:val="00E13BA8"/>
    <w:rsid w:val="00EC625D"/>
    <w:rsid w:val="00EC6583"/>
    <w:rsid w:val="00E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D3D4"/>
  <w15:chartTrackingRefBased/>
  <w15:docId w15:val="{656D0778-4D8B-43ED-A7B0-4148BF50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72BD"/>
    <w:pPr>
      <w:ind w:left="720"/>
      <w:contextualSpacing/>
    </w:pPr>
  </w:style>
  <w:style w:type="table" w:styleId="Reetkatablice">
    <w:name w:val="Table Grid"/>
    <w:basedOn w:val="Obinatablica"/>
    <w:uiPriority w:val="39"/>
    <w:rsid w:val="00B4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EE6C0D"/>
    <w:rPr>
      <w:i/>
      <w:iCs/>
    </w:rPr>
  </w:style>
  <w:style w:type="character" w:styleId="Hiperveza">
    <w:name w:val="Hyperlink"/>
    <w:basedOn w:val="Zadanifontodlomka"/>
    <w:uiPriority w:val="99"/>
    <w:unhideWhenUsed/>
    <w:rsid w:val="00B1225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revision>25</cp:revision>
  <cp:lastPrinted>2023-10-27T09:29:00Z</cp:lastPrinted>
  <dcterms:created xsi:type="dcterms:W3CDTF">2023-10-26T08:11:00Z</dcterms:created>
  <dcterms:modified xsi:type="dcterms:W3CDTF">2024-02-26T09:33:00Z</dcterms:modified>
</cp:coreProperties>
</file>