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Hotelijersko- turistička i ugostiteljska škola Zadar</w:t>
      </w:r>
    </w:p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Antuna Gustava Matoša 40, 23000 Zadar</w:t>
      </w:r>
    </w:p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91757782000 //  RKP: 19773</w:t>
      </w:r>
    </w:p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023/ 335-295</w:t>
      </w:r>
    </w:p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htus.zadar@skole.hr</w:t>
        </w:r>
      </w:hyperlink>
    </w:p>
    <w:p w:rsidR="008D57FE" w:rsidRPr="00CF0B45" w:rsidRDefault="00B00B68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45">
        <w:rPr>
          <w:rFonts w:ascii="Times New Roman" w:eastAsia="Times New Roman" w:hAnsi="Times New Roman" w:cs="Times New Roman"/>
          <w:sz w:val="24"/>
          <w:szCs w:val="24"/>
        </w:rPr>
        <w:t>KLASA:</w:t>
      </w:r>
      <w:r w:rsidRPr="00CF0B45">
        <w:rPr>
          <w:rFonts w:ascii="Times New Roman" w:eastAsia="Times New Roman" w:hAnsi="Times New Roman" w:cs="Times New Roman"/>
          <w:sz w:val="24"/>
          <w:szCs w:val="24"/>
        </w:rPr>
        <w:tab/>
      </w:r>
      <w:r w:rsidR="008D57FE" w:rsidRPr="00CF0B45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CF0B45" w:rsidRPr="00CF0B45">
        <w:rPr>
          <w:rFonts w:ascii="Times New Roman" w:eastAsia="Times New Roman" w:hAnsi="Times New Roman" w:cs="Times New Roman"/>
          <w:sz w:val="24"/>
          <w:szCs w:val="24"/>
        </w:rPr>
        <w:t>-02/24</w:t>
      </w:r>
      <w:r w:rsidR="008D57FE" w:rsidRPr="00CF0B45">
        <w:rPr>
          <w:rFonts w:ascii="Times New Roman" w:eastAsia="Times New Roman" w:hAnsi="Times New Roman" w:cs="Times New Roman"/>
          <w:sz w:val="24"/>
          <w:szCs w:val="24"/>
        </w:rPr>
        <w:t>-01/1</w:t>
      </w:r>
    </w:p>
    <w:p w:rsidR="008D57FE" w:rsidRPr="00CF0B45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45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Pr="00CF0B45">
        <w:rPr>
          <w:rFonts w:ascii="Times New Roman" w:eastAsia="Times New Roman" w:hAnsi="Times New Roman" w:cs="Times New Roman"/>
          <w:sz w:val="24"/>
          <w:szCs w:val="24"/>
        </w:rPr>
        <w:tab/>
      </w:r>
      <w:r w:rsidR="00CF0B45" w:rsidRPr="00CF0B45">
        <w:rPr>
          <w:rFonts w:ascii="Times New Roman" w:eastAsia="Times New Roman" w:hAnsi="Times New Roman" w:cs="Times New Roman"/>
          <w:sz w:val="24"/>
          <w:szCs w:val="24"/>
        </w:rPr>
        <w:t>2198-1-61-24</w:t>
      </w:r>
      <w:r w:rsidRPr="00CF0B45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8D57FE" w:rsidRDefault="008D57FE" w:rsidP="008B73FB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7FE" w:rsidRDefault="008D57FE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Zadar, </w:t>
      </w:r>
      <w:r w:rsidR="00B00B68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B68">
        <w:rPr>
          <w:rFonts w:ascii="Times New Roman" w:eastAsia="Times New Roman" w:hAnsi="Times New Roman" w:cs="Times New Roman"/>
          <w:sz w:val="24"/>
          <w:szCs w:val="24"/>
        </w:rPr>
        <w:t xml:space="preserve"> travnja 2024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:rsidR="001E58B0" w:rsidRDefault="001E58B0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484" w:rsidRDefault="002E4484" w:rsidP="00861708">
      <w:pPr>
        <w:jc w:val="both"/>
      </w:pPr>
    </w:p>
    <w:p w:rsidR="002E4484" w:rsidRDefault="002E4484" w:rsidP="00861708">
      <w:pPr>
        <w:spacing w:after="0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</w:t>
      </w:r>
    </w:p>
    <w:p w:rsidR="001974AF" w:rsidRDefault="002E4484" w:rsidP="00861708">
      <w:pPr>
        <w:spacing w:after="0"/>
        <w:ind w:left="-709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0D">
        <w:rPr>
          <w:rFonts w:ascii="Times New Roman" w:hAnsi="Times New Roman" w:cs="Times New Roman"/>
          <w:b/>
          <w:sz w:val="28"/>
          <w:szCs w:val="28"/>
        </w:rPr>
        <w:t>Obrazloženje prijedloga izmjena i dopuna financijskog plana</w:t>
      </w:r>
    </w:p>
    <w:p w:rsidR="002E4484" w:rsidRPr="00344F0D" w:rsidRDefault="002E4484" w:rsidP="00861708">
      <w:pPr>
        <w:spacing w:after="0"/>
        <w:ind w:left="-709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0D">
        <w:rPr>
          <w:rFonts w:ascii="Times New Roman" w:hAnsi="Times New Roman" w:cs="Times New Roman"/>
          <w:b/>
          <w:sz w:val="28"/>
          <w:szCs w:val="28"/>
        </w:rPr>
        <w:t>za 2024. – Rebalans 1</w:t>
      </w:r>
    </w:p>
    <w:p w:rsidR="008B73FB" w:rsidRDefault="008B73FB" w:rsidP="008617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484" w:rsidRDefault="002E4484" w:rsidP="00861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ŠKOLI</w:t>
      </w:r>
    </w:p>
    <w:p w:rsidR="002E4484" w:rsidRDefault="002E4484" w:rsidP="00861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Hotelijersko – turistička i ugostiteljska škola Zadar je javna ustanova srednjeg odgoja i obrazovanja. Osnivač je Zadarska županija (Rješenje Ministarstva prosvjete i športa, Klasa: 602-03/92-01-769,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532-02-6/3-93-01, od 8. veljače 1993. godine).</w:t>
      </w:r>
    </w:p>
    <w:p w:rsidR="002E4484" w:rsidRDefault="002E4484" w:rsidP="008617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Škola djeluje u zgradi izgrađenoj 1972. godine, smještenoj izvan grada pa većina učenika putuje javnim gradskim ili međugradskim prijevozom. Prostor se dijeli s Ekonomskom- birotehničkom i trgovačkom školom Zadar </w:t>
      </w:r>
      <w:r w:rsidRPr="00BA59E2">
        <w:rPr>
          <w:rFonts w:ascii="Times New Roman" w:hAnsi="Times New Roman" w:cs="Times New Roman"/>
          <w:sz w:val="24"/>
          <w:szCs w:val="24"/>
        </w:rPr>
        <w:t xml:space="preserve">te raspolaže sa 15 specijaliziranih učionica, </w:t>
      </w:r>
      <w:r>
        <w:rPr>
          <w:rFonts w:ascii="Times New Roman" w:hAnsi="Times New Roman" w:cs="Times New Roman"/>
          <w:sz w:val="24"/>
          <w:szCs w:val="24"/>
        </w:rPr>
        <w:t>5 praktikuma s garderobama, 9</w:t>
      </w:r>
      <w:r w:rsidRPr="00BA59E2">
        <w:rPr>
          <w:rFonts w:ascii="Times New Roman" w:hAnsi="Times New Roman" w:cs="Times New Roman"/>
          <w:sz w:val="24"/>
          <w:szCs w:val="24"/>
        </w:rPr>
        <w:t xml:space="preserve"> kabineta, dvorane za tjelesni odgoj, vanjskim igralištem i knjižnicom.</w:t>
      </w:r>
    </w:p>
    <w:p w:rsidR="002E4484" w:rsidRDefault="002E4484" w:rsidP="008617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Škola obrazuje učenike za zanimanja: </w:t>
      </w:r>
      <w:r w:rsidRPr="002E4484">
        <w:rPr>
          <w:rFonts w:ascii="Times New Roman" w:eastAsia="Times New Roman" w:hAnsi="Times New Roman" w:cs="Times New Roman"/>
          <w:sz w:val="24"/>
          <w:szCs w:val="24"/>
        </w:rPr>
        <w:t>kuhar, konobar, slastičar, turističko- hotelijerski komercijalist, hotelijersko- turistički tehničar, pomoćni kuhar i slastičar (učenici s teškoćama u razvoju), pomoćni konobar (učenici s teškoćama u razvoju).</w:t>
      </w:r>
    </w:p>
    <w:p w:rsidR="002E4484" w:rsidRPr="002E4484" w:rsidRDefault="002E4484" w:rsidP="008617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484" w:rsidRPr="002E4484" w:rsidRDefault="002E4484" w:rsidP="00861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84">
        <w:rPr>
          <w:rFonts w:ascii="Times New Roman" w:hAnsi="Times New Roman" w:cs="Times New Roman"/>
          <w:b/>
          <w:sz w:val="24"/>
          <w:szCs w:val="24"/>
        </w:rPr>
        <w:t>IZVORI FINANCIRANJA</w:t>
      </w:r>
    </w:p>
    <w:p w:rsidR="002E4484" w:rsidRDefault="002E4484" w:rsidP="008617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484">
        <w:rPr>
          <w:rFonts w:ascii="Times New Roman" w:hAnsi="Times New Roman" w:cs="Times New Roman"/>
          <w:sz w:val="24"/>
          <w:szCs w:val="24"/>
        </w:rPr>
        <w:t>Škola se financira sredstvima</w:t>
      </w:r>
      <w:r w:rsidRPr="002E4484">
        <w:rPr>
          <w:rFonts w:ascii="Times New Roman" w:hAnsi="Times New Roman" w:cs="Times New Roman"/>
          <w:b/>
          <w:sz w:val="24"/>
          <w:szCs w:val="24"/>
        </w:rPr>
        <w:t xml:space="preserve"> Ministarstva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znanosti, obrazovanja i športa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(plaće i doprinosi na plaće, materijalna prava radnika iz Kolektivnog ugovora, naknada za nezapošljavanje osoba s invaliditetom), decentraliziranim sredstvima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Zadarske županije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(materijalni izdaci), kao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vlastitim sredstvima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sredstvima dobivenima putem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EU projekata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3FB" w:rsidRPr="008B73FB" w:rsidRDefault="008B73FB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484" w:rsidRDefault="002E4484" w:rsidP="00861708">
      <w:pPr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OBRAZLOŽENJE REBALANSA 1 ZA 2024. GODINU</w:t>
      </w:r>
    </w:p>
    <w:p w:rsidR="00B00B68" w:rsidRDefault="00B00B68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čl. 29. i 30. Zakona o proračunu (NN 87/08, 136/12, 15/15 i 144/21) i Zakona o fiskalnoj odgovornosti (NN 139/10, 19/14, 111/18) te nizom drugih propisa koji uređuju područje stjecanja i raspoređivanja proračunskih sredstava (Pravilnik o proračunskom računovodstvu i računskom planu, Pravilnik o proračunskim klasifikacijama), donesene su izmjene i dopune financijskog plana proračunskog korisnika za 2024. godinu – Rebalans 1.</w:t>
      </w:r>
    </w:p>
    <w:p w:rsidR="00B00B68" w:rsidRPr="00B179FC" w:rsidRDefault="00B00B68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Rebalans 1 sadrži prihode i primitke iskazane po vrstama i po izvorima iz kojih potječu te rashode i izdatke razvrstane prema izvorima financiranja, predviđene za </w:t>
      </w:r>
      <w:r w:rsidR="00EA1268">
        <w:rPr>
          <w:rFonts w:ascii="Times New Roman" w:eastAsia="Times New Roman" w:hAnsi="Times New Roman" w:cs="Times New Roman"/>
          <w:sz w:val="24"/>
          <w:szCs w:val="24"/>
        </w:rPr>
        <w:t>potrebe š</w:t>
      </w:r>
      <w:r>
        <w:rPr>
          <w:rFonts w:ascii="Times New Roman" w:eastAsia="Times New Roman" w:hAnsi="Times New Roman" w:cs="Times New Roman"/>
          <w:sz w:val="24"/>
          <w:szCs w:val="24"/>
        </w:rPr>
        <w:t>kole do kraja godine.</w:t>
      </w:r>
    </w:p>
    <w:p w:rsidR="00B00B68" w:rsidRDefault="00B00B68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Svi prihodi i primici kao i</w:t>
      </w:r>
      <w:r w:rsidRPr="00B179FC">
        <w:rPr>
          <w:rFonts w:ascii="Times New Roman" w:eastAsia="Times New Roman" w:hAnsi="Times New Roman" w:cs="Times New Roman"/>
          <w:sz w:val="24"/>
          <w:szCs w:val="24"/>
        </w:rPr>
        <w:t xml:space="preserve"> rashodi i izdaci utvrđeni ovim rebalansom su uravnoteženi.</w:t>
      </w:r>
    </w:p>
    <w:p w:rsidR="00B00B68" w:rsidRDefault="00EA1268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 š</w:t>
      </w:r>
      <w:r w:rsidR="00B00B68">
        <w:rPr>
          <w:rFonts w:ascii="Times New Roman" w:eastAsia="Times New Roman" w:hAnsi="Times New Roman" w:cs="Times New Roman"/>
          <w:sz w:val="24"/>
          <w:szCs w:val="24"/>
        </w:rPr>
        <w:t>kole odgovoran je za zakonito i pravilno planiranje i izvršavanje financijskog plana.</w:t>
      </w:r>
    </w:p>
    <w:p w:rsidR="008B73FB" w:rsidRDefault="008B73FB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DF" w:rsidRDefault="00EA1268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š</w:t>
      </w:r>
      <w:r w:rsidR="00D070DF">
        <w:rPr>
          <w:rFonts w:ascii="Times New Roman" w:eastAsia="Times New Roman" w:hAnsi="Times New Roman" w:cs="Times New Roman"/>
          <w:sz w:val="24"/>
          <w:szCs w:val="24"/>
        </w:rPr>
        <w:t xml:space="preserve">koli se provodi </w:t>
      </w:r>
      <w:r w:rsidR="00D070DF" w:rsidRPr="005A60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070DF">
        <w:rPr>
          <w:rFonts w:ascii="Times New Roman" w:eastAsia="Times New Roman" w:hAnsi="Times New Roman" w:cs="Times New Roman"/>
          <w:sz w:val="24"/>
          <w:szCs w:val="24"/>
        </w:rPr>
        <w:t xml:space="preserve"> programa koji se financiraju iz različitih izvora financiranja:</w:t>
      </w:r>
    </w:p>
    <w:p w:rsidR="00D070DF" w:rsidRPr="008D642F" w:rsidRDefault="00D070DF" w:rsidP="0086170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2F">
        <w:rPr>
          <w:rFonts w:ascii="Times New Roman" w:hAnsi="Times New Roman" w:cs="Times New Roman"/>
          <w:b/>
          <w:sz w:val="24"/>
          <w:szCs w:val="24"/>
        </w:rPr>
        <w:t>Program 2204 – Srednje školstvo-standard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D5A" w:rsidRPr="00152519" w:rsidTr="00EA1268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Rebalans 1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FB0D5A" w:rsidRPr="00152519" w:rsidTr="00A367D5">
        <w:tc>
          <w:tcPr>
            <w:tcW w:w="1812" w:type="dxa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</w:t>
            </w:r>
          </w:p>
        </w:tc>
        <w:tc>
          <w:tcPr>
            <w:tcW w:w="1812" w:type="dxa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D5A">
              <w:rPr>
                <w:rFonts w:ascii="Times New Roman" w:hAnsi="Times New Roman" w:cs="Times New Roman"/>
                <w:b/>
              </w:rPr>
              <w:t>1.842.712,34</w:t>
            </w:r>
          </w:p>
        </w:tc>
        <w:tc>
          <w:tcPr>
            <w:tcW w:w="1813" w:type="dxa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D5A">
              <w:rPr>
                <w:rFonts w:ascii="Times New Roman" w:hAnsi="Times New Roman" w:cs="Times New Roman"/>
                <w:b/>
              </w:rPr>
              <w:t>2.152.564,75</w:t>
            </w:r>
          </w:p>
        </w:tc>
        <w:tc>
          <w:tcPr>
            <w:tcW w:w="1813" w:type="dxa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116,82</w:t>
            </w:r>
          </w:p>
        </w:tc>
      </w:tr>
    </w:tbl>
    <w:p w:rsidR="008B73FB" w:rsidRDefault="008B73FB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0DF" w:rsidRPr="00D539BF" w:rsidRDefault="00BA20F5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</w:t>
      </w:r>
      <w:r w:rsidR="00D070DF" w:rsidRPr="00D539BF">
        <w:rPr>
          <w:rFonts w:ascii="Times New Roman" w:hAnsi="Times New Roman" w:cs="Times New Roman"/>
          <w:sz w:val="24"/>
          <w:szCs w:val="24"/>
        </w:rPr>
        <w:t>2204 - Srednje školstvo-standard“ namijenjen je financiranju temeljnih potreba za</w:t>
      </w:r>
    </w:p>
    <w:p w:rsidR="00D070DF" w:rsidRPr="00D539BF" w:rsidRDefault="00EA1268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poslovanje š</w:t>
      </w:r>
      <w:r w:rsidR="00D070DF" w:rsidRPr="00D539BF">
        <w:rPr>
          <w:rFonts w:ascii="Times New Roman" w:hAnsi="Times New Roman" w:cs="Times New Roman"/>
          <w:sz w:val="24"/>
          <w:szCs w:val="24"/>
        </w:rPr>
        <w:t>kole. Iz sredstava navedenog programa po</w:t>
      </w:r>
      <w:r>
        <w:rPr>
          <w:rFonts w:ascii="Times New Roman" w:hAnsi="Times New Roman" w:cs="Times New Roman"/>
          <w:sz w:val="24"/>
          <w:szCs w:val="24"/>
        </w:rPr>
        <w:t>krivaju se materijalni rashodi š</w:t>
      </w:r>
      <w:r w:rsidR="00D070DF" w:rsidRPr="00D539BF">
        <w:rPr>
          <w:rFonts w:ascii="Times New Roman" w:hAnsi="Times New Roman" w:cs="Times New Roman"/>
          <w:sz w:val="24"/>
          <w:szCs w:val="24"/>
        </w:rPr>
        <w:t>kole i</w:t>
      </w:r>
    </w:p>
    <w:p w:rsidR="00D070DF" w:rsidRDefault="00D070DF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9BF">
        <w:rPr>
          <w:rFonts w:ascii="Times New Roman" w:hAnsi="Times New Roman" w:cs="Times New Roman"/>
          <w:sz w:val="24"/>
          <w:szCs w:val="24"/>
        </w:rPr>
        <w:t>financiraju plaće djelatnika.</w:t>
      </w:r>
    </w:p>
    <w:p w:rsidR="00D070DF" w:rsidRPr="00B40C93" w:rsidRDefault="00D070DF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2204 </w:t>
      </w:r>
      <w:r w:rsidRPr="00B40C93">
        <w:rPr>
          <w:rFonts w:ascii="Times New Roman" w:hAnsi="Times New Roman" w:cs="Times New Roman"/>
          <w:sz w:val="24"/>
          <w:szCs w:val="24"/>
        </w:rPr>
        <w:t>provodi se kroz sljedeće aktivnosti:</w:t>
      </w:r>
    </w:p>
    <w:p w:rsidR="00D070DF" w:rsidRPr="00B40C93" w:rsidRDefault="00D070DF" w:rsidP="0086170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>Aktivnost A2204-01 – Djelatnost srednjih škola</w:t>
      </w:r>
    </w:p>
    <w:p w:rsidR="008D642F" w:rsidRPr="008D642F" w:rsidRDefault="00D070DF" w:rsidP="0086170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>Aktivnost A2204-07 – Administracija i upravljanje</w:t>
      </w:r>
    </w:p>
    <w:p w:rsidR="00F220C4" w:rsidRDefault="00F220C4" w:rsidP="0086170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2F" w:rsidRPr="008D642F" w:rsidRDefault="00FB0D5A" w:rsidP="00861708">
      <w:pPr>
        <w:pStyle w:val="Odlomakpopisa"/>
        <w:numPr>
          <w:ilvl w:val="0"/>
          <w:numId w:val="12"/>
        </w:num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42F">
        <w:rPr>
          <w:rFonts w:ascii="Times New Roman" w:eastAsia="Times New Roman" w:hAnsi="Times New Roman" w:cs="Times New Roman"/>
          <w:b/>
          <w:sz w:val="24"/>
          <w:szCs w:val="24"/>
        </w:rPr>
        <w:t>Djelatnost srednjih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D5A" w:rsidRPr="00152519" w:rsidTr="000203E2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0203E2" w:rsidP="0043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Rebalans 1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FB0D5A" w:rsidRPr="00152519" w:rsidTr="000203E2"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2204-01</w:t>
            </w:r>
          </w:p>
        </w:tc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196.512,34</w:t>
            </w:r>
          </w:p>
        </w:tc>
        <w:tc>
          <w:tcPr>
            <w:tcW w:w="1813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160.864,75</w:t>
            </w:r>
          </w:p>
        </w:tc>
        <w:tc>
          <w:tcPr>
            <w:tcW w:w="1813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81,86</w:t>
            </w:r>
          </w:p>
        </w:tc>
      </w:tr>
    </w:tbl>
    <w:p w:rsidR="00690B67" w:rsidRDefault="00690B67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D5A" w:rsidRPr="00B12255" w:rsidRDefault="00FB0D5A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i sredstva </w:t>
      </w:r>
      <w:r w:rsidRPr="00B12255">
        <w:rPr>
          <w:rFonts w:ascii="Times New Roman" w:hAnsi="Times New Roman" w:cs="Times New Roman"/>
          <w:sz w:val="24"/>
          <w:szCs w:val="24"/>
        </w:rPr>
        <w:t>namijenjena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B12255">
        <w:rPr>
          <w:rFonts w:ascii="Times New Roman" w:hAnsi="Times New Roman" w:cs="Times New Roman"/>
          <w:sz w:val="24"/>
          <w:szCs w:val="24"/>
        </w:rPr>
        <w:t xml:space="preserve"> fin</w:t>
      </w:r>
      <w:r w:rsidR="00EA1268">
        <w:rPr>
          <w:rFonts w:ascii="Times New Roman" w:hAnsi="Times New Roman" w:cs="Times New Roman"/>
          <w:sz w:val="24"/>
          <w:szCs w:val="24"/>
        </w:rPr>
        <w:t>anciranju materijalnih rashoda š</w:t>
      </w:r>
      <w:r w:rsidRPr="00B12255">
        <w:rPr>
          <w:rFonts w:ascii="Times New Roman" w:hAnsi="Times New Roman" w:cs="Times New Roman"/>
          <w:sz w:val="24"/>
          <w:szCs w:val="24"/>
        </w:rPr>
        <w:t>kole, a koji se sastoje od troška prijevoza zaposlenika s posla i na posao, službena putovanja i usavršavanje zaposlenika, za podmiriv</w:t>
      </w:r>
      <w:r>
        <w:rPr>
          <w:rFonts w:ascii="Times New Roman" w:hAnsi="Times New Roman" w:cs="Times New Roman"/>
          <w:sz w:val="24"/>
          <w:szCs w:val="24"/>
        </w:rPr>
        <w:t>anje troška uredskog materijala</w:t>
      </w:r>
      <w:r w:rsidRPr="00B12255"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</w:t>
      </w:r>
      <w:r>
        <w:rPr>
          <w:rFonts w:ascii="Times New Roman" w:hAnsi="Times New Roman" w:cs="Times New Roman"/>
          <w:sz w:val="24"/>
          <w:szCs w:val="24"/>
        </w:rPr>
        <w:t>i investicijsko</w:t>
      </w:r>
      <w:r w:rsidRPr="00B12255">
        <w:rPr>
          <w:rFonts w:ascii="Times New Roman" w:hAnsi="Times New Roman" w:cs="Times New Roman"/>
          <w:sz w:val="24"/>
          <w:szCs w:val="24"/>
        </w:rPr>
        <w:t xml:space="preserve"> održavanje zgrade i prostorija, osiguranje, članarine i ostali rashodi i izdaci povezani s redovnim radom</w:t>
      </w:r>
      <w:r w:rsidR="0009550B">
        <w:rPr>
          <w:rFonts w:ascii="Times New Roman" w:hAnsi="Times New Roman" w:cs="Times New Roman"/>
          <w:sz w:val="24"/>
          <w:szCs w:val="24"/>
        </w:rPr>
        <w:t xml:space="preserve"> š</w:t>
      </w:r>
      <w:r w:rsidRPr="00B12255">
        <w:rPr>
          <w:rFonts w:ascii="Times New Roman" w:hAnsi="Times New Roman" w:cs="Times New Roman"/>
          <w:sz w:val="24"/>
          <w:szCs w:val="24"/>
        </w:rPr>
        <w:t xml:space="preserve">kole. </w:t>
      </w:r>
    </w:p>
    <w:p w:rsidR="00FB0D5A" w:rsidRDefault="00FB0D5A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55">
        <w:rPr>
          <w:rFonts w:ascii="Times New Roman" w:hAnsi="Times New Roman" w:cs="Times New Roman"/>
          <w:sz w:val="24"/>
          <w:szCs w:val="24"/>
        </w:rPr>
        <w:t>Rashodi i izdaci za</w:t>
      </w:r>
      <w:r>
        <w:rPr>
          <w:rFonts w:ascii="Times New Roman" w:hAnsi="Times New Roman" w:cs="Times New Roman"/>
          <w:sz w:val="24"/>
          <w:szCs w:val="24"/>
        </w:rPr>
        <w:t>snivaju se na stanju tekuće 2024. godine</w:t>
      </w:r>
      <w:r w:rsidR="0009550B">
        <w:rPr>
          <w:rFonts w:ascii="Times New Roman" w:hAnsi="Times New Roman" w:cs="Times New Roman"/>
          <w:sz w:val="24"/>
          <w:szCs w:val="24"/>
        </w:rPr>
        <w:t xml:space="preserve"> te su uspoređeni</w:t>
      </w:r>
      <w:r w:rsidRPr="00B12255">
        <w:rPr>
          <w:rFonts w:ascii="Times New Roman" w:hAnsi="Times New Roman" w:cs="Times New Roman"/>
          <w:sz w:val="24"/>
          <w:szCs w:val="24"/>
        </w:rPr>
        <w:t xml:space="preserve"> s prethodnim godinama, no </w:t>
      </w:r>
      <w:r w:rsidR="0009550B">
        <w:rPr>
          <w:rFonts w:ascii="Times New Roman" w:hAnsi="Times New Roman" w:cs="Times New Roman"/>
          <w:sz w:val="24"/>
          <w:szCs w:val="24"/>
        </w:rPr>
        <w:t>kako za ovu aktivnost škola dobije</w:t>
      </w:r>
      <w:r>
        <w:rPr>
          <w:rFonts w:ascii="Times New Roman" w:hAnsi="Times New Roman" w:cs="Times New Roman"/>
          <w:sz w:val="24"/>
          <w:szCs w:val="24"/>
        </w:rPr>
        <w:t xml:space="preserve"> limit koji ne smije prekoračiti </w:t>
      </w:r>
      <w:r w:rsidRPr="00B12255">
        <w:rPr>
          <w:rFonts w:ascii="Times New Roman" w:hAnsi="Times New Roman" w:cs="Times New Roman"/>
          <w:sz w:val="24"/>
          <w:szCs w:val="24"/>
        </w:rPr>
        <w:t>sredstva su raspoređena prema mogućnostima.</w:t>
      </w:r>
      <w:r>
        <w:rPr>
          <w:rFonts w:ascii="Times New Roman" w:hAnsi="Times New Roman" w:cs="Times New Roman"/>
          <w:sz w:val="24"/>
          <w:szCs w:val="24"/>
        </w:rPr>
        <w:t xml:space="preserve"> Kako je Rebalansom 1 limit za financiranje materijalnih rashoda smanjen, škola će pokušati što racionalnije trošiti odobrena sredstva te će štedjeti na svim stavkama plana.</w:t>
      </w:r>
    </w:p>
    <w:p w:rsidR="008D642F" w:rsidRDefault="008D642F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D5A" w:rsidRPr="008D642F" w:rsidRDefault="00FB0D5A" w:rsidP="0086170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2F">
        <w:rPr>
          <w:rFonts w:ascii="Times New Roman" w:hAnsi="Times New Roman" w:cs="Times New Roman"/>
          <w:b/>
          <w:sz w:val="24"/>
          <w:szCs w:val="24"/>
        </w:rPr>
        <w:t>Administracija i upravljanje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D5A" w:rsidRPr="00152519" w:rsidTr="000203E2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0203E2" w:rsidP="0043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Rebalans 1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FB0D5A" w:rsidRPr="00152519" w:rsidTr="000203E2"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2204-07</w:t>
            </w:r>
          </w:p>
        </w:tc>
        <w:tc>
          <w:tcPr>
            <w:tcW w:w="1812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1.646.200,00</w:t>
            </w:r>
          </w:p>
        </w:tc>
        <w:tc>
          <w:tcPr>
            <w:tcW w:w="1813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1.991.700,00</w:t>
            </w:r>
          </w:p>
        </w:tc>
        <w:tc>
          <w:tcPr>
            <w:tcW w:w="1813" w:type="dxa"/>
            <w:vAlign w:val="center"/>
          </w:tcPr>
          <w:p w:rsidR="00FB0D5A" w:rsidRPr="00152519" w:rsidRDefault="00FB0D5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120,99</w:t>
            </w:r>
          </w:p>
        </w:tc>
      </w:tr>
    </w:tbl>
    <w:p w:rsidR="00690B67" w:rsidRDefault="00690B67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FF" w:rsidRDefault="00FB0D5A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Pr="00B40C93">
        <w:rPr>
          <w:rFonts w:ascii="Times New Roman" w:hAnsi="Times New Roman" w:cs="Times New Roman"/>
          <w:sz w:val="24"/>
          <w:szCs w:val="24"/>
        </w:rPr>
        <w:t xml:space="preserve"> Administracija i upravljanje planiraju se sredstv</w:t>
      </w:r>
      <w:r w:rsidR="00EA1268">
        <w:rPr>
          <w:rFonts w:ascii="Times New Roman" w:hAnsi="Times New Roman" w:cs="Times New Roman"/>
          <w:sz w:val="24"/>
          <w:szCs w:val="24"/>
        </w:rPr>
        <w:t>a za rashode plaća zaposlenika š</w:t>
      </w:r>
      <w:r w:rsidRPr="00B40C93"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</w:t>
      </w:r>
      <w:r>
        <w:rPr>
          <w:rFonts w:ascii="Times New Roman" w:hAnsi="Times New Roman" w:cs="Times New Roman"/>
          <w:sz w:val="24"/>
          <w:szCs w:val="24"/>
        </w:rPr>
        <w:t>imaju prema Kolektivnom ugovoru</w:t>
      </w:r>
      <w:r w:rsidRPr="00B40C93">
        <w:rPr>
          <w:rFonts w:ascii="Times New Roman" w:hAnsi="Times New Roman" w:cs="Times New Roman"/>
          <w:sz w:val="24"/>
          <w:szCs w:val="24"/>
        </w:rPr>
        <w:t xml:space="preserve"> te naknada za nezapošljavanje osoba s invali</w:t>
      </w:r>
      <w:r>
        <w:rPr>
          <w:rFonts w:ascii="Times New Roman" w:hAnsi="Times New Roman" w:cs="Times New Roman"/>
          <w:sz w:val="24"/>
          <w:szCs w:val="24"/>
        </w:rPr>
        <w:t xml:space="preserve">ditetom. </w:t>
      </w:r>
    </w:p>
    <w:p w:rsidR="005A60FF" w:rsidRDefault="005A60FF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 obzirom na Odluku o proglašenju zakona o izmjenama i dopunama zakona o porezu na dohodak (NN 114/23), Uredbe o nazivima radnih mjesta, uvjetima za raspored i koeficijentima za obračun plaće u državnoj službi (NN 22/24) te Zakona o plaćama u državnoj službi i javnim službama (NN 155/23) povećani su iznosi u Rebalansu </w:t>
      </w:r>
      <w:r w:rsidR="00BA20F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u odnosu na izvorni plan za 2024. godinu.</w:t>
      </w:r>
    </w:p>
    <w:p w:rsidR="008B73FB" w:rsidRDefault="008B73FB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FB" w:rsidRPr="008B73FB" w:rsidRDefault="005A60FF" w:rsidP="008B73FB">
      <w:pPr>
        <w:pStyle w:val="Odlomakpopisa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B73FB">
        <w:rPr>
          <w:rFonts w:ascii="Times New Roman" w:hAnsi="Times New Roman" w:cs="Times New Roman"/>
          <w:b/>
          <w:sz w:val="24"/>
          <w:szCs w:val="24"/>
        </w:rPr>
        <w:t>Program 2205 – srednje školstvo – iznad standarda</w:t>
      </w:r>
    </w:p>
    <w:p w:rsidR="008B73FB" w:rsidRPr="008B73FB" w:rsidRDefault="008B73FB" w:rsidP="008B73FB">
      <w:pPr>
        <w:pStyle w:val="Odlomakpopisa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A60FF" w:rsidRPr="008B73FB" w:rsidRDefault="005A60FF" w:rsidP="008B73F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B73FB">
        <w:rPr>
          <w:rFonts w:ascii="Times New Roman" w:hAnsi="Times New Roman" w:cs="Times New Roman"/>
          <w:sz w:val="24"/>
          <w:szCs w:val="24"/>
        </w:rPr>
        <w:t>P</w:t>
      </w:r>
      <w:r w:rsidR="00BA20F5" w:rsidRPr="008B73FB">
        <w:rPr>
          <w:rFonts w:ascii="Times New Roman" w:hAnsi="Times New Roman" w:cs="Times New Roman"/>
          <w:sz w:val="24"/>
          <w:szCs w:val="24"/>
        </w:rPr>
        <w:t>rogram „</w:t>
      </w:r>
      <w:r w:rsidRPr="008B73FB">
        <w:rPr>
          <w:rFonts w:ascii="Times New Roman" w:hAnsi="Times New Roman" w:cs="Times New Roman"/>
          <w:sz w:val="24"/>
          <w:szCs w:val="24"/>
        </w:rPr>
        <w:t>2205 - Srednje školstvo – iznad standarda“ namijenjen je za podizanje kvalitete i</w:t>
      </w:r>
    </w:p>
    <w:p w:rsidR="005A60FF" w:rsidRPr="0081472D" w:rsidRDefault="005A60FF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standarda u školstvu. Kroz navedeni program nastoji se podići nastavni standard na višu razinu,</w:t>
      </w:r>
    </w:p>
    <w:p w:rsidR="005A60FF" w:rsidRPr="0081472D" w:rsidRDefault="005A60FF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uključiti učenike u što više aktivnosti, motivirati i povećati sposobnosti učenika njihovim</w:t>
      </w:r>
    </w:p>
    <w:p w:rsidR="005A60FF" w:rsidRDefault="005A60FF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sudjelovanjem i radom.</w:t>
      </w:r>
      <w:r w:rsidRPr="0081472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Program 2205 provodi se kroz više aktivnosti, kao što su Javne potrebe u prosvjeti, Natjecanja i smotre, Projekt e-škole i slično i za njih sredstva planiraju nadležni upravni odjel, a samo za sljedeću aktiv</w:t>
      </w:r>
      <w:r w:rsidR="00EA1268">
        <w:rPr>
          <w:rFonts w:ascii="Times New Roman" w:hAnsi="Times New Roman" w:cs="Times New Roman"/>
          <w:sz w:val="24"/>
          <w:szCs w:val="24"/>
        </w:rPr>
        <w:t>nost prihode i rashode planira š</w:t>
      </w:r>
      <w:r>
        <w:rPr>
          <w:rFonts w:ascii="Times New Roman" w:hAnsi="Times New Roman" w:cs="Times New Roman"/>
          <w:sz w:val="24"/>
          <w:szCs w:val="24"/>
        </w:rPr>
        <w:t>kola u svom financijskom planu:</w:t>
      </w:r>
    </w:p>
    <w:p w:rsidR="00AA1581" w:rsidRDefault="00AA1581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FF" w:rsidRPr="0081472D" w:rsidRDefault="005A60FF" w:rsidP="008617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A2205-12 – Podizanje kvalitete i standarda u školstvu</w:t>
      </w:r>
    </w:p>
    <w:p w:rsidR="00D070DF" w:rsidRPr="008B73FB" w:rsidRDefault="00D070DF" w:rsidP="00861708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4C7" w:rsidRPr="008D642F" w:rsidRDefault="004454C7" w:rsidP="00861708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2F">
        <w:rPr>
          <w:rFonts w:ascii="Times New Roman" w:hAnsi="Times New Roman" w:cs="Times New Roman"/>
          <w:b/>
          <w:sz w:val="24"/>
          <w:szCs w:val="24"/>
        </w:rPr>
        <w:t>Podizanje kvalitete i standarda u školstvu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454C7" w:rsidRPr="00152519" w:rsidTr="00690B67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454C7" w:rsidRPr="00152519" w:rsidRDefault="004454C7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454C7" w:rsidRPr="00152519" w:rsidRDefault="00AA1581" w:rsidP="0043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454C7" w:rsidRPr="00152519" w:rsidRDefault="004454C7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4454C7" w:rsidRPr="00152519" w:rsidRDefault="004454C7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Rebalans 1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4454C7" w:rsidRPr="00152519" w:rsidRDefault="004454C7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4454C7" w:rsidRPr="00152519" w:rsidTr="00690B67">
        <w:tc>
          <w:tcPr>
            <w:tcW w:w="1812" w:type="dxa"/>
            <w:vAlign w:val="center"/>
          </w:tcPr>
          <w:p w:rsidR="004454C7" w:rsidRPr="00152519" w:rsidRDefault="004454C7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4454C7" w:rsidRPr="00152519" w:rsidRDefault="0081603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2205-12</w:t>
            </w:r>
          </w:p>
        </w:tc>
        <w:tc>
          <w:tcPr>
            <w:tcW w:w="1812" w:type="dxa"/>
            <w:vAlign w:val="center"/>
          </w:tcPr>
          <w:p w:rsidR="004454C7" w:rsidRPr="00152519" w:rsidRDefault="0081603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41.800,00</w:t>
            </w:r>
          </w:p>
        </w:tc>
        <w:tc>
          <w:tcPr>
            <w:tcW w:w="1813" w:type="dxa"/>
            <w:vAlign w:val="center"/>
          </w:tcPr>
          <w:p w:rsidR="004454C7" w:rsidRPr="00152519" w:rsidRDefault="0081603A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41.927,11</w:t>
            </w:r>
          </w:p>
        </w:tc>
        <w:tc>
          <w:tcPr>
            <w:tcW w:w="1813" w:type="dxa"/>
            <w:vAlign w:val="center"/>
          </w:tcPr>
          <w:p w:rsidR="004454C7" w:rsidRPr="00152519" w:rsidRDefault="008D642F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2F">
              <w:rPr>
                <w:rFonts w:ascii="Times New Roman" w:hAnsi="Times New Roman" w:cs="Times New Roman"/>
                <w:b/>
              </w:rPr>
              <w:t>100,30</w:t>
            </w:r>
          </w:p>
        </w:tc>
      </w:tr>
    </w:tbl>
    <w:p w:rsidR="008B73FB" w:rsidRDefault="008B73FB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571" w:rsidRDefault="0081603A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aktivnost A2205</w:t>
      </w:r>
      <w:r w:rsidR="00A80571"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škola ostvaruje prihode </w:t>
      </w:r>
      <w:r w:rsidRPr="00A27887">
        <w:rPr>
          <w:rFonts w:ascii="Times New Roman" w:hAnsi="Times New Roman" w:cs="Times New Roman"/>
          <w:sz w:val="24"/>
          <w:szCs w:val="24"/>
        </w:rPr>
        <w:t>obavljanjem poslova na tržištu, a to su: namjenski prihodi (izda</w:t>
      </w:r>
      <w:r>
        <w:rPr>
          <w:rFonts w:ascii="Times New Roman" w:hAnsi="Times New Roman" w:cs="Times New Roman"/>
          <w:sz w:val="24"/>
          <w:szCs w:val="24"/>
        </w:rPr>
        <w:t xml:space="preserve">vanje duplikata svjedodžbi), vlastit prihodi: </w:t>
      </w:r>
      <w:r w:rsidRPr="00A27887">
        <w:rPr>
          <w:rFonts w:ascii="Times New Roman" w:hAnsi="Times New Roman" w:cs="Times New Roman"/>
          <w:sz w:val="24"/>
          <w:szCs w:val="24"/>
        </w:rPr>
        <w:t xml:space="preserve">najam dvorane, najam prostora </w:t>
      </w:r>
      <w:r>
        <w:rPr>
          <w:rFonts w:ascii="Times New Roman" w:hAnsi="Times New Roman" w:cs="Times New Roman"/>
          <w:sz w:val="24"/>
          <w:szCs w:val="24"/>
        </w:rPr>
        <w:t>za tople napitke</w:t>
      </w:r>
      <w:r w:rsidRPr="00A27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pružanje usluga cateringa za različite prigode </w:t>
      </w:r>
      <w:r w:rsidRPr="00A27887">
        <w:rPr>
          <w:rFonts w:ascii="Times New Roman" w:hAnsi="Times New Roman" w:cs="Times New Roman"/>
          <w:sz w:val="24"/>
          <w:szCs w:val="24"/>
        </w:rPr>
        <w:t xml:space="preserve">ili najam praktikuma za polaganje majstorskih ispita. Novčana sredstva uplaćuju se na jedinstveni račun Zadarske županije, što je definirano čl. 60 Zakona o Proračunu (NN 87/08, 136/12, 15/15, 144/21). Kroz sustav Županijske riznice osigurani su svi podaci na temelju kojih se prati ostvarivanje planiranih prihoda i rashoda. </w:t>
      </w:r>
    </w:p>
    <w:p w:rsidR="0081603A" w:rsidRDefault="00EA1268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sredstva š</w:t>
      </w:r>
      <w:r w:rsidR="0081603A" w:rsidRPr="00A27887">
        <w:rPr>
          <w:rFonts w:ascii="Times New Roman" w:hAnsi="Times New Roman" w:cs="Times New Roman"/>
          <w:sz w:val="24"/>
          <w:szCs w:val="24"/>
        </w:rPr>
        <w:t>kole troše se zakonski i namje</w:t>
      </w:r>
      <w:r w:rsidR="0081603A">
        <w:rPr>
          <w:rFonts w:ascii="Times New Roman" w:hAnsi="Times New Roman" w:cs="Times New Roman"/>
          <w:sz w:val="24"/>
          <w:szCs w:val="24"/>
        </w:rPr>
        <w:t xml:space="preserve">nski i </w:t>
      </w:r>
      <w:r w:rsidR="0081603A" w:rsidRPr="00A27887">
        <w:rPr>
          <w:rFonts w:ascii="Times New Roman" w:hAnsi="Times New Roman" w:cs="Times New Roman"/>
          <w:sz w:val="24"/>
          <w:szCs w:val="24"/>
        </w:rPr>
        <w:t>k</w:t>
      </w:r>
      <w:r w:rsidR="0081603A">
        <w:rPr>
          <w:rFonts w:ascii="Times New Roman" w:hAnsi="Times New Roman" w:cs="Times New Roman"/>
          <w:sz w:val="24"/>
          <w:szCs w:val="24"/>
        </w:rPr>
        <w:t xml:space="preserve">oriste se za unaprjeđenje nastavno – </w:t>
      </w:r>
      <w:r w:rsidR="0081603A" w:rsidRPr="00A27887">
        <w:rPr>
          <w:rFonts w:ascii="Times New Roman" w:hAnsi="Times New Roman" w:cs="Times New Roman"/>
          <w:sz w:val="24"/>
          <w:szCs w:val="24"/>
        </w:rPr>
        <w:t>obrazovnog pr</w:t>
      </w:r>
      <w:r w:rsidR="0081603A">
        <w:rPr>
          <w:rFonts w:ascii="Times New Roman" w:hAnsi="Times New Roman" w:cs="Times New Roman"/>
          <w:sz w:val="24"/>
          <w:szCs w:val="24"/>
        </w:rPr>
        <w:t>ocesa, administrativnih procesa</w:t>
      </w:r>
      <w:r w:rsidR="0081603A" w:rsidRPr="00A27887">
        <w:rPr>
          <w:rFonts w:ascii="Times New Roman" w:hAnsi="Times New Roman" w:cs="Times New Roman"/>
          <w:sz w:val="24"/>
          <w:szCs w:val="24"/>
        </w:rPr>
        <w:t xml:space="preserve"> te redovnog i izvanrednog od</w:t>
      </w:r>
      <w:r w:rsidR="006C09DC">
        <w:rPr>
          <w:rFonts w:ascii="Times New Roman" w:hAnsi="Times New Roman" w:cs="Times New Roman"/>
          <w:sz w:val="24"/>
          <w:szCs w:val="24"/>
        </w:rPr>
        <w:t>ržavanja prostora unutar i van š</w:t>
      </w:r>
      <w:r w:rsidR="0081603A" w:rsidRPr="00A27887">
        <w:rPr>
          <w:rFonts w:ascii="Times New Roman" w:hAnsi="Times New Roman" w:cs="Times New Roman"/>
          <w:sz w:val="24"/>
          <w:szCs w:val="24"/>
        </w:rPr>
        <w:t xml:space="preserve">kole. </w:t>
      </w:r>
    </w:p>
    <w:p w:rsidR="0081603A" w:rsidRDefault="0081603A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planirana su sredstva iz Državnog proračuna, odnosno pomoći iz Ministarstva znanosti i obrazovanja, na temelju uplata iz prethodnih godina, a za primjerice </w:t>
      </w:r>
      <w:r w:rsidRPr="00D61F60">
        <w:rPr>
          <w:rFonts w:ascii="Times New Roman" w:hAnsi="Times New Roman" w:cs="Times New Roman"/>
          <w:sz w:val="24"/>
          <w:szCs w:val="24"/>
        </w:rPr>
        <w:t xml:space="preserve">besplatne udžbenike učenicima slabijeg </w:t>
      </w:r>
      <w:proofErr w:type="spellStart"/>
      <w:r w:rsidRPr="00D61F60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D61F60">
        <w:rPr>
          <w:rFonts w:ascii="Times New Roman" w:hAnsi="Times New Roman" w:cs="Times New Roman"/>
          <w:sz w:val="24"/>
          <w:szCs w:val="24"/>
        </w:rPr>
        <w:t>-ekonomskog statusa, naknadu za prijevoz učenicima s posebnim potreba, novčana sredstva za opremanje knjižnica (lektire, stručna i nastavna literatura) i drugo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03A" w:rsidRDefault="0081603A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74" w:rsidRDefault="006C09DC" w:rsidP="008B73F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školi smanjen limit za financiranje materijalnih rashoda, ukoliko bude potrebe dio rashoda škola će financirati iz vlastitih i namjenskih prihoda.</w:t>
      </w:r>
    </w:p>
    <w:p w:rsidR="008B73FB" w:rsidRDefault="008B73FB" w:rsidP="008B73F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B73FB" w:rsidRPr="008B73FB" w:rsidRDefault="006C09DC" w:rsidP="008B73FB">
      <w:pPr>
        <w:pStyle w:val="Odlomakpopisa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B73FB">
        <w:rPr>
          <w:rFonts w:ascii="Times New Roman" w:eastAsia="Times New Roman" w:hAnsi="Times New Roman" w:cs="Times New Roman"/>
          <w:b/>
          <w:sz w:val="24"/>
          <w:szCs w:val="24"/>
        </w:rPr>
        <w:t>Program 4301 – Razvojni program EU</w:t>
      </w:r>
    </w:p>
    <w:p w:rsidR="008B73FB" w:rsidRPr="008B73FB" w:rsidRDefault="008B73FB" w:rsidP="008B73FB">
      <w:pPr>
        <w:pStyle w:val="Odlomakpopisa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43DC3" w:rsidRPr="008B73FB" w:rsidRDefault="006C09DC" w:rsidP="008B73FB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B73FB">
        <w:rPr>
          <w:rFonts w:ascii="Times New Roman" w:hAnsi="Times New Roman" w:cs="Times New Roman"/>
          <w:sz w:val="24"/>
          <w:szCs w:val="24"/>
        </w:rPr>
        <w:t>Škola sudjeluje u program</w:t>
      </w:r>
      <w:r w:rsidR="00C43DC3" w:rsidRPr="008B73FB">
        <w:rPr>
          <w:rFonts w:ascii="Times New Roman" w:hAnsi="Times New Roman" w:cs="Times New Roman"/>
          <w:sz w:val="24"/>
          <w:szCs w:val="24"/>
        </w:rPr>
        <w:t xml:space="preserve">u </w:t>
      </w:r>
      <w:r w:rsidR="00C23F62" w:rsidRPr="008B73FB">
        <w:rPr>
          <w:rFonts w:ascii="Times New Roman" w:hAnsi="Times New Roman" w:cs="Times New Roman"/>
          <w:sz w:val="24"/>
          <w:szCs w:val="24"/>
        </w:rPr>
        <w:t>„</w:t>
      </w:r>
      <w:r w:rsidR="00C43DC3" w:rsidRPr="008B73FB">
        <w:rPr>
          <w:rFonts w:ascii="Times New Roman" w:hAnsi="Times New Roman" w:cs="Times New Roman"/>
          <w:sz w:val="24"/>
          <w:szCs w:val="24"/>
        </w:rPr>
        <w:t>4301 – Razvojni projekti EU</w:t>
      </w:r>
      <w:r w:rsidR="00C23F62" w:rsidRPr="008B73FB">
        <w:rPr>
          <w:rFonts w:ascii="Times New Roman" w:hAnsi="Times New Roman" w:cs="Times New Roman"/>
          <w:sz w:val="24"/>
          <w:szCs w:val="24"/>
        </w:rPr>
        <w:t>“</w:t>
      </w:r>
      <w:r w:rsidR="00C43DC3" w:rsidRPr="008B73FB">
        <w:rPr>
          <w:rFonts w:ascii="Times New Roman" w:hAnsi="Times New Roman" w:cs="Times New Roman"/>
          <w:sz w:val="24"/>
          <w:szCs w:val="24"/>
        </w:rPr>
        <w:t>, odnosno u</w:t>
      </w:r>
      <w:r w:rsidRPr="008B73FB">
        <w:rPr>
          <w:rFonts w:ascii="Times New Roman" w:hAnsi="Times New Roman" w:cs="Times New Roman"/>
          <w:sz w:val="24"/>
          <w:szCs w:val="24"/>
        </w:rPr>
        <w:t xml:space="preserve"> projektu T4301-6</w:t>
      </w:r>
      <w:r w:rsidR="00C43DC3" w:rsidRPr="008B73FB">
        <w:rPr>
          <w:rFonts w:ascii="Times New Roman" w:hAnsi="Times New Roman" w:cs="Times New Roman"/>
          <w:sz w:val="24"/>
          <w:szCs w:val="24"/>
        </w:rPr>
        <w:t>7 – Projekt pomoćnici u nastavi,</w:t>
      </w:r>
      <w:r w:rsidRPr="008B73FB">
        <w:rPr>
          <w:rFonts w:ascii="Times New Roman" w:hAnsi="Times New Roman" w:cs="Times New Roman"/>
          <w:sz w:val="24"/>
          <w:szCs w:val="24"/>
        </w:rPr>
        <w:t xml:space="preserve"> u  kojem se osiguravanju sredstva za plaće pomoćnika u nastavi s ciljem pružanja potpore uključivanju učenika s teškoćama u razvoju u njima primjerene programe odgoja i obrazovanja u osnovnoškolskim i srednjoškolskim odgojno – obrazovnim </w:t>
      </w:r>
      <w:r w:rsidRPr="008B73FB">
        <w:rPr>
          <w:rFonts w:ascii="Times New Roman" w:hAnsi="Times New Roman" w:cs="Times New Roman"/>
          <w:sz w:val="24"/>
          <w:szCs w:val="24"/>
        </w:rPr>
        <w:lastRenderedPageBreak/>
        <w:t xml:space="preserve">ustanovama. </w:t>
      </w:r>
      <w:r w:rsidR="00C43DC3" w:rsidRPr="008B73FB">
        <w:rPr>
          <w:rFonts w:ascii="Times New Roman" w:hAnsi="Times New Roman" w:cs="Times New Roman"/>
          <w:sz w:val="24"/>
          <w:szCs w:val="24"/>
        </w:rPr>
        <w:t>Za navedeni projekt škola ne radi plan, jer je za njegovo planiranje zadužena vanjska Agencija.</w:t>
      </w:r>
    </w:p>
    <w:p w:rsidR="00C43DC3" w:rsidRDefault="00C43DC3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C3" w:rsidRDefault="00C43DC3" w:rsidP="0086170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DC3">
        <w:rPr>
          <w:rFonts w:ascii="Times New Roman" w:hAnsi="Times New Roman" w:cs="Times New Roman"/>
          <w:b/>
          <w:sz w:val="24"/>
          <w:szCs w:val="24"/>
        </w:rPr>
        <w:t>Program 4306 – Nacionalni EU projekti</w:t>
      </w:r>
    </w:p>
    <w:p w:rsidR="008B73FB" w:rsidRPr="008B73FB" w:rsidRDefault="008B73FB" w:rsidP="008B73F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F0" w:rsidRDefault="00C23F62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</w:t>
      </w:r>
      <w:r w:rsidR="00B535F0">
        <w:rPr>
          <w:rFonts w:ascii="Times New Roman" w:hAnsi="Times New Roman" w:cs="Times New Roman"/>
          <w:sz w:val="24"/>
          <w:szCs w:val="24"/>
        </w:rPr>
        <w:t>4306 – Nacionalni EU projekti</w:t>
      </w:r>
      <w:r w:rsidR="00B535F0" w:rsidRPr="0081472D">
        <w:rPr>
          <w:rFonts w:ascii="Times New Roman" w:hAnsi="Times New Roman" w:cs="Times New Roman"/>
          <w:sz w:val="24"/>
          <w:szCs w:val="24"/>
        </w:rPr>
        <w:t xml:space="preserve">“ </w:t>
      </w:r>
      <w:r w:rsidR="00B535F0">
        <w:rPr>
          <w:rFonts w:ascii="Times New Roman" w:hAnsi="Times New Roman" w:cs="Times New Roman"/>
          <w:sz w:val="24"/>
          <w:szCs w:val="24"/>
        </w:rPr>
        <w:t xml:space="preserve">namijenjena je financiranju </w:t>
      </w:r>
      <w:proofErr w:type="spellStart"/>
      <w:r w:rsidR="00B535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B535F0">
        <w:rPr>
          <w:rFonts w:ascii="Times New Roman" w:hAnsi="Times New Roman" w:cs="Times New Roman"/>
          <w:sz w:val="24"/>
          <w:szCs w:val="24"/>
        </w:rPr>
        <w:t xml:space="preserve">+ projekta </w:t>
      </w:r>
      <w:r w:rsidR="00B535F0" w:rsidRPr="00861708">
        <w:rPr>
          <w:rFonts w:ascii="Times New Roman" w:hAnsi="Times New Roman" w:cs="Times New Roman"/>
          <w:i/>
          <w:sz w:val="24"/>
          <w:szCs w:val="24"/>
        </w:rPr>
        <w:t>'Različiti zajedno'</w:t>
      </w:r>
      <w:r w:rsidR="00B535F0">
        <w:rPr>
          <w:rFonts w:ascii="Times New Roman" w:hAnsi="Times New Roman" w:cs="Times New Roman"/>
          <w:sz w:val="24"/>
          <w:szCs w:val="24"/>
        </w:rPr>
        <w:t xml:space="preserve"> s kojim se omoguć</w:t>
      </w:r>
      <w:r w:rsidR="00861708">
        <w:rPr>
          <w:rFonts w:ascii="Times New Roman" w:hAnsi="Times New Roman" w:cs="Times New Roman"/>
          <w:sz w:val="24"/>
          <w:szCs w:val="24"/>
        </w:rPr>
        <w:t>ilo</w:t>
      </w:r>
      <w:r w:rsidR="00B535F0">
        <w:rPr>
          <w:rFonts w:ascii="Times New Roman" w:hAnsi="Times New Roman" w:cs="Times New Roman"/>
          <w:sz w:val="24"/>
          <w:szCs w:val="24"/>
        </w:rPr>
        <w:t xml:space="preserve"> nastavnica sudjelovanje na različitim tečajevima kako bi ojačali svoja znanja i vještine u radu s djecom s posebnim potrebama. </w:t>
      </w:r>
    </w:p>
    <w:p w:rsidR="00B535F0" w:rsidRDefault="00F562A2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njega</w:t>
      </w:r>
      <w:r w:rsidR="00B535F0">
        <w:rPr>
          <w:rFonts w:ascii="Times New Roman" w:hAnsi="Times New Roman" w:cs="Times New Roman"/>
          <w:sz w:val="24"/>
          <w:szCs w:val="24"/>
        </w:rPr>
        <w:t xml:space="preserve"> pod ovaj program spada i projekt T4301-67 –</w:t>
      </w:r>
      <w:proofErr w:type="spellStart"/>
      <w:r w:rsidR="00B535F0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="00B535F0">
        <w:rPr>
          <w:rFonts w:ascii="Times New Roman" w:hAnsi="Times New Roman" w:cs="Times New Roman"/>
          <w:sz w:val="24"/>
          <w:szCs w:val="24"/>
        </w:rPr>
        <w:t xml:space="preserve"> – </w:t>
      </w:r>
      <w:r w:rsidR="00B535F0" w:rsidRPr="000801D2">
        <w:rPr>
          <w:rFonts w:ascii="Times New Roman" w:hAnsi="Times New Roman" w:cs="Times New Roman"/>
          <w:sz w:val="24"/>
          <w:szCs w:val="24"/>
        </w:rPr>
        <w:t>korak bliže društvu bez prepreka</w:t>
      </w:r>
      <w:r w:rsidR="00B535F0">
        <w:rPr>
          <w:rFonts w:ascii="Times New Roman" w:hAnsi="Times New Roman" w:cs="Times New Roman"/>
          <w:sz w:val="24"/>
          <w:szCs w:val="24"/>
        </w:rPr>
        <w:t xml:space="preserve">, </w:t>
      </w:r>
      <w:r w:rsidR="00B535F0">
        <w:rPr>
          <w:rFonts w:ascii="Times New Roman" w:hAnsi="Times New Roman" w:cs="Times New Roman"/>
          <w:sz w:val="24"/>
          <w:szCs w:val="24"/>
        </w:rPr>
        <w:t>kojem je svrha ista kao i kod projekta</w:t>
      </w:r>
      <w:r w:rsidR="00B535F0" w:rsidRPr="00B535F0">
        <w:rPr>
          <w:rFonts w:ascii="Times New Roman" w:hAnsi="Times New Roman" w:cs="Times New Roman"/>
          <w:sz w:val="24"/>
          <w:szCs w:val="24"/>
        </w:rPr>
        <w:t xml:space="preserve"> </w:t>
      </w:r>
      <w:r w:rsidR="00B535F0" w:rsidRPr="006C09DC">
        <w:rPr>
          <w:rFonts w:ascii="Times New Roman" w:hAnsi="Times New Roman" w:cs="Times New Roman"/>
          <w:sz w:val="24"/>
          <w:szCs w:val="24"/>
        </w:rPr>
        <w:t>T4301-6</w:t>
      </w:r>
      <w:r w:rsidR="00B535F0">
        <w:rPr>
          <w:rFonts w:ascii="Times New Roman" w:hAnsi="Times New Roman" w:cs="Times New Roman"/>
          <w:sz w:val="24"/>
          <w:szCs w:val="24"/>
        </w:rPr>
        <w:t>7</w:t>
      </w:r>
      <w:r w:rsidR="00B535F0">
        <w:rPr>
          <w:rFonts w:ascii="Times New Roman" w:hAnsi="Times New Roman" w:cs="Times New Roman"/>
          <w:sz w:val="24"/>
          <w:szCs w:val="24"/>
        </w:rPr>
        <w:t xml:space="preserve"> i za njegovo planiranje također je zadužena vanjska Agencija.</w:t>
      </w:r>
    </w:p>
    <w:p w:rsidR="00B535F0" w:rsidRDefault="00B535F0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A9" w:rsidRPr="00FC54A9" w:rsidRDefault="00FC54A9" w:rsidP="0086170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FC54A9" w:rsidRPr="00FC54A9" w:rsidRDefault="00FC54A9" w:rsidP="0086170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FC54A9" w:rsidRPr="00FC54A9" w:rsidRDefault="00FC54A9" w:rsidP="0086170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FC54A9" w:rsidRPr="00FC54A9" w:rsidRDefault="00FC54A9" w:rsidP="0086170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6C09DC" w:rsidRPr="00FC54A9" w:rsidRDefault="00C43DC3" w:rsidP="00861708">
      <w:pPr>
        <w:pStyle w:val="Odlomakpopis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4A9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proofErr w:type="spellStart"/>
      <w:r w:rsidRPr="00FC54A9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FC54A9">
        <w:rPr>
          <w:rFonts w:ascii="Times New Roman" w:hAnsi="Times New Roman" w:cs="Times New Roman"/>
          <w:b/>
          <w:sz w:val="24"/>
          <w:szCs w:val="24"/>
        </w:rPr>
        <w:t>+ Različiti zajedno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43DC3" w:rsidRPr="00152519" w:rsidTr="006A4FCD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Razdjel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Rebalans 1 2024.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</w:rPr>
            </w:pPr>
            <w:r w:rsidRPr="00152519">
              <w:rPr>
                <w:rFonts w:ascii="Times New Roman" w:hAnsi="Times New Roman" w:cs="Times New Roman"/>
              </w:rPr>
              <w:t>Indeks Rebalans/Plan</w:t>
            </w:r>
          </w:p>
        </w:tc>
      </w:tr>
      <w:tr w:rsidR="00C43DC3" w:rsidRPr="00152519" w:rsidTr="006A4FCD">
        <w:tc>
          <w:tcPr>
            <w:tcW w:w="1812" w:type="dxa"/>
            <w:vAlign w:val="center"/>
          </w:tcPr>
          <w:p w:rsidR="00C43DC3" w:rsidRPr="00152519" w:rsidRDefault="00C43DC3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1812" w:type="dxa"/>
            <w:vAlign w:val="center"/>
          </w:tcPr>
          <w:p w:rsidR="00C43DC3" w:rsidRPr="00152519" w:rsidRDefault="00E35EF7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T4306-16</w:t>
            </w:r>
          </w:p>
        </w:tc>
        <w:tc>
          <w:tcPr>
            <w:tcW w:w="1812" w:type="dxa"/>
            <w:vAlign w:val="center"/>
          </w:tcPr>
          <w:p w:rsidR="00C43DC3" w:rsidRPr="00152519" w:rsidRDefault="00E35EF7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5.506,00</w:t>
            </w:r>
          </w:p>
        </w:tc>
        <w:tc>
          <w:tcPr>
            <w:tcW w:w="1813" w:type="dxa"/>
            <w:vAlign w:val="center"/>
          </w:tcPr>
          <w:p w:rsidR="00C43DC3" w:rsidRPr="00152519" w:rsidRDefault="00E35EF7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5.506,00</w:t>
            </w:r>
          </w:p>
        </w:tc>
        <w:tc>
          <w:tcPr>
            <w:tcW w:w="1813" w:type="dxa"/>
            <w:vAlign w:val="center"/>
          </w:tcPr>
          <w:p w:rsidR="00C43DC3" w:rsidRPr="00152519" w:rsidRDefault="00E35EF7" w:rsidP="00436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C09DC" w:rsidRDefault="006C09DC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87" w:rsidRDefault="00EE5487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0">
        <w:rPr>
          <w:rFonts w:ascii="Times New Roman" w:hAnsi="Times New Roman" w:cs="Times New Roman"/>
          <w:sz w:val="24"/>
          <w:szCs w:val="24"/>
        </w:rPr>
        <w:t>U kolovozu 2022. godine je potpisan ugovor o dodjeli bes</w:t>
      </w:r>
      <w:r>
        <w:rPr>
          <w:rFonts w:ascii="Times New Roman" w:hAnsi="Times New Roman" w:cs="Times New Roman"/>
          <w:sz w:val="24"/>
          <w:szCs w:val="24"/>
        </w:rPr>
        <w:t xml:space="preserve">povratnih sredstava 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90100">
        <w:rPr>
          <w:rFonts w:ascii="Times New Roman" w:hAnsi="Times New Roman" w:cs="Times New Roman"/>
          <w:sz w:val="24"/>
          <w:szCs w:val="24"/>
        </w:rPr>
        <w:t xml:space="preserve">+ KA1 </w:t>
      </w: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861708">
        <w:rPr>
          <w:rFonts w:ascii="Times New Roman" w:hAnsi="Times New Roman" w:cs="Times New Roman"/>
          <w:i/>
          <w:sz w:val="24"/>
          <w:szCs w:val="24"/>
        </w:rPr>
        <w:t>'Različiti zajedno'</w:t>
      </w:r>
      <w:r>
        <w:rPr>
          <w:rFonts w:ascii="Times New Roman" w:hAnsi="Times New Roman" w:cs="Times New Roman"/>
          <w:sz w:val="24"/>
          <w:szCs w:val="24"/>
        </w:rPr>
        <w:t xml:space="preserve"> koja se provodi</w:t>
      </w:r>
      <w:r w:rsidR="00861708">
        <w:rPr>
          <w:rFonts w:ascii="Times New Roman" w:hAnsi="Times New Roman" w:cs="Times New Roman"/>
          <w:sz w:val="24"/>
          <w:szCs w:val="24"/>
        </w:rPr>
        <w:t>o</w:t>
      </w:r>
      <w:r w:rsidRPr="00590100">
        <w:rPr>
          <w:rFonts w:ascii="Times New Roman" w:hAnsi="Times New Roman" w:cs="Times New Roman"/>
          <w:sz w:val="24"/>
          <w:szCs w:val="24"/>
        </w:rPr>
        <w:t xml:space="preserve"> u Hotelijersko- turističkoj i ugostit</w:t>
      </w:r>
      <w:r w:rsidR="00861708">
        <w:rPr>
          <w:rFonts w:ascii="Times New Roman" w:hAnsi="Times New Roman" w:cs="Times New Roman"/>
          <w:sz w:val="24"/>
          <w:szCs w:val="24"/>
        </w:rPr>
        <w:t>eljskoj školi Zadar tokom 2022. i</w:t>
      </w:r>
      <w:r w:rsidRPr="00590100">
        <w:rPr>
          <w:rFonts w:ascii="Times New Roman" w:hAnsi="Times New Roman" w:cs="Times New Roman"/>
          <w:sz w:val="24"/>
          <w:szCs w:val="24"/>
        </w:rPr>
        <w:t xml:space="preserve"> 2023. godine. Uplaćeno je 80% odobrenih</w:t>
      </w:r>
      <w:r w:rsidR="00F562A2">
        <w:rPr>
          <w:rFonts w:ascii="Times New Roman" w:hAnsi="Times New Roman" w:cs="Times New Roman"/>
          <w:sz w:val="24"/>
          <w:szCs w:val="24"/>
        </w:rPr>
        <w:t xml:space="preserve"> sredstava za provedbu projekta. </w:t>
      </w:r>
      <w:r w:rsidRPr="00590100">
        <w:rPr>
          <w:rFonts w:ascii="Times New Roman" w:hAnsi="Times New Roman" w:cs="Times New Roman"/>
          <w:sz w:val="24"/>
          <w:szCs w:val="24"/>
        </w:rPr>
        <w:t xml:space="preserve">Svrha projekta je organizirati timove za inkluzivno učenje, ojačati nastavničke kompetencije u metodologiji rada s učenicima s poteškoćama (u posebnim razrednim odjeljenjima i u redovnoj nastavi), educirati sve učenike o toleranciji, empatiji, asertivnoj komunikaciji i prihvaćanju različitosti i jedinstvenosti pojedinca. Aktivnosti se odnose na nastavničke mobilnosti i diseminaciju evaluacija. </w:t>
      </w:r>
      <w:r w:rsidR="00F562A2">
        <w:rPr>
          <w:rFonts w:ascii="Times New Roman" w:hAnsi="Times New Roman" w:cs="Times New Roman"/>
          <w:sz w:val="24"/>
          <w:szCs w:val="24"/>
        </w:rPr>
        <w:t>Do kraja 2023. godine odrađene su sve mobilnosti, a u 2024. godini š</w:t>
      </w:r>
      <w:r>
        <w:rPr>
          <w:rFonts w:ascii="Times New Roman" w:hAnsi="Times New Roman" w:cs="Times New Roman"/>
          <w:sz w:val="24"/>
          <w:szCs w:val="24"/>
        </w:rPr>
        <w:t>kola bi trebala dobiti preostalih 20 % prihoda.</w:t>
      </w:r>
    </w:p>
    <w:p w:rsidR="00C43DC3" w:rsidRDefault="00C43DC3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3F" w:rsidRDefault="00861708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Rebalansom 1 s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>redstva su se rasporedila ka</w:t>
      </w:r>
      <w:r w:rsidR="005A70B1">
        <w:rPr>
          <w:rFonts w:ascii="Times New Roman" w:eastAsia="Times New Roman" w:hAnsi="Times New Roman" w:cs="Times New Roman"/>
          <w:sz w:val="24"/>
          <w:szCs w:val="24"/>
        </w:rPr>
        <w:t>k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 xml:space="preserve">o bi se podigla kvaliteta nastave na što višu razinu i to kontinuiranim kvalitetnim usavršavanjem nastavnika, sudjelovanjem na seminarima i stručnim skupovima te podizanjem </w:t>
      </w:r>
      <w:r w:rsidR="00EA1268">
        <w:rPr>
          <w:rFonts w:ascii="Times New Roman" w:eastAsia="Times New Roman" w:hAnsi="Times New Roman" w:cs="Times New Roman"/>
          <w:sz w:val="24"/>
          <w:szCs w:val="24"/>
        </w:rPr>
        <w:t>materijalnih i drugih uvjeta u š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>koli, a sve</w:t>
      </w:r>
      <w:r w:rsidR="00EA1268">
        <w:rPr>
          <w:rFonts w:ascii="Times New Roman" w:eastAsia="Times New Roman" w:hAnsi="Times New Roman" w:cs="Times New Roman"/>
          <w:sz w:val="24"/>
          <w:szCs w:val="24"/>
        </w:rPr>
        <w:t xml:space="preserve"> u skladu s Planom i programom š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>kole i njenim mogućnostima.</w:t>
      </w:r>
    </w:p>
    <w:p w:rsidR="008B73FB" w:rsidRDefault="008B73FB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93F" w:rsidRDefault="00861708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Škola se kod 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 xml:space="preserve">učenika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trudi 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>razviti samoinicijativnost, marljivost, odgovornost, ali i njihovu poduzetnost kroz uključivanje u razne slobodne aktivnosti, sudjelovanje u manifestacijama, natjecanja, vježbeničke prakse, kao i druge školske projekte te ih osposobiti za rad ili nastavak školovanja prema zahtjevima tržišnog gospodarstva.</w:t>
      </w:r>
    </w:p>
    <w:p w:rsidR="008B73FB" w:rsidRDefault="008B73FB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93F" w:rsidRDefault="005A70B1" w:rsidP="00861708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nadalje će se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 xml:space="preserve"> odgovorno, zakonito, namjenski, transparentno i svrhovito koristiti proračunska sredstva, kroz pravilno planiranje i kontrolu izvršavanja financijskog plana, a zbog teškog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stanja u gospodarstvu nastavit će se</w:t>
      </w:r>
      <w:r w:rsidR="0078393F">
        <w:rPr>
          <w:rFonts w:ascii="Times New Roman" w:eastAsia="Times New Roman" w:hAnsi="Times New Roman" w:cs="Times New Roman"/>
          <w:sz w:val="24"/>
          <w:szCs w:val="24"/>
        </w:rPr>
        <w:t xml:space="preserve"> mjere racionalizacije i štednje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01C" w:rsidRDefault="0065001C" w:rsidP="00861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65001C" w:rsidRDefault="0065001C" w:rsidP="00861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3F" w:rsidRDefault="0078393F" w:rsidP="00861708">
      <w:pPr>
        <w:spacing w:after="0"/>
        <w:ind w:left="708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93F" w:rsidRDefault="0078393F" w:rsidP="00861708">
      <w:pPr>
        <w:spacing w:after="0"/>
        <w:ind w:left="708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78393F" w:rsidRDefault="0078393F" w:rsidP="00436EEA">
      <w:pPr>
        <w:spacing w:after="0" w:line="240" w:lineRule="auto"/>
        <w:ind w:left="-426" w:right="-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Diana Radić Škara, prof.</w:t>
      </w:r>
    </w:p>
    <w:sectPr w:rsidR="0078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1A"/>
    <w:multiLevelType w:val="hybridMultilevel"/>
    <w:tmpl w:val="109EDC9C"/>
    <w:lvl w:ilvl="0" w:tplc="3B9062BC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402"/>
    <w:multiLevelType w:val="hybridMultilevel"/>
    <w:tmpl w:val="B76E6A64"/>
    <w:lvl w:ilvl="0" w:tplc="070A55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497"/>
    <w:multiLevelType w:val="hybridMultilevel"/>
    <w:tmpl w:val="7B0626A8"/>
    <w:lvl w:ilvl="0" w:tplc="69F693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31D7"/>
    <w:multiLevelType w:val="hybridMultilevel"/>
    <w:tmpl w:val="34609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3741"/>
    <w:multiLevelType w:val="hybridMultilevel"/>
    <w:tmpl w:val="FE580486"/>
    <w:lvl w:ilvl="0" w:tplc="070A55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4A7B"/>
    <w:multiLevelType w:val="hybridMultilevel"/>
    <w:tmpl w:val="0720C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5153"/>
    <w:multiLevelType w:val="hybridMultilevel"/>
    <w:tmpl w:val="D60C438C"/>
    <w:lvl w:ilvl="0" w:tplc="070A55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5A9E"/>
    <w:multiLevelType w:val="hybridMultilevel"/>
    <w:tmpl w:val="5BD6AC12"/>
    <w:lvl w:ilvl="0" w:tplc="6978B59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5E6C"/>
    <w:multiLevelType w:val="hybridMultilevel"/>
    <w:tmpl w:val="3D848424"/>
    <w:lvl w:ilvl="0" w:tplc="32CC4DBA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127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807D67"/>
    <w:multiLevelType w:val="hybridMultilevel"/>
    <w:tmpl w:val="3D985A22"/>
    <w:lvl w:ilvl="0" w:tplc="E006FEFE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1344"/>
    <w:multiLevelType w:val="hybridMultilevel"/>
    <w:tmpl w:val="A1A6E672"/>
    <w:lvl w:ilvl="0" w:tplc="E006FEFE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502"/>
    <w:multiLevelType w:val="hybridMultilevel"/>
    <w:tmpl w:val="E3FCD6E4"/>
    <w:lvl w:ilvl="0" w:tplc="69F693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43D3"/>
    <w:multiLevelType w:val="hybridMultilevel"/>
    <w:tmpl w:val="5DE46540"/>
    <w:lvl w:ilvl="0" w:tplc="C8A6FA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248B"/>
    <w:multiLevelType w:val="hybridMultilevel"/>
    <w:tmpl w:val="2A2A1A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A13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2600F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A52DB2"/>
    <w:multiLevelType w:val="hybridMultilevel"/>
    <w:tmpl w:val="FFE803D2"/>
    <w:lvl w:ilvl="0" w:tplc="3B9062BC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D79EE"/>
    <w:multiLevelType w:val="hybridMultilevel"/>
    <w:tmpl w:val="F66A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D7E05"/>
    <w:multiLevelType w:val="hybridMultilevel"/>
    <w:tmpl w:val="CE16A00C"/>
    <w:lvl w:ilvl="0" w:tplc="E006FEFE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5029D"/>
    <w:multiLevelType w:val="hybridMultilevel"/>
    <w:tmpl w:val="A60CA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03103"/>
    <w:multiLevelType w:val="hybridMultilevel"/>
    <w:tmpl w:val="5D725F84"/>
    <w:lvl w:ilvl="0" w:tplc="007266E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59B5"/>
    <w:multiLevelType w:val="hybridMultilevel"/>
    <w:tmpl w:val="3A645B2A"/>
    <w:lvl w:ilvl="0" w:tplc="69F693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15EA"/>
    <w:multiLevelType w:val="hybridMultilevel"/>
    <w:tmpl w:val="E9C26DE8"/>
    <w:lvl w:ilvl="0" w:tplc="32CC4DBA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73E78"/>
    <w:multiLevelType w:val="multilevel"/>
    <w:tmpl w:val="F108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69655B"/>
    <w:multiLevelType w:val="multilevel"/>
    <w:tmpl w:val="C0AAC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055FB8"/>
    <w:multiLevelType w:val="hybridMultilevel"/>
    <w:tmpl w:val="A71ECAEA"/>
    <w:lvl w:ilvl="0" w:tplc="32CC4DBA">
      <w:start w:val="4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4"/>
  </w:num>
  <w:num w:numId="5">
    <w:abstractNumId w:val="15"/>
  </w:num>
  <w:num w:numId="6">
    <w:abstractNumId w:val="24"/>
  </w:num>
  <w:num w:numId="7">
    <w:abstractNumId w:val="20"/>
  </w:num>
  <w:num w:numId="8">
    <w:abstractNumId w:val="21"/>
  </w:num>
  <w:num w:numId="9">
    <w:abstractNumId w:val="4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12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7"/>
  </w:num>
  <w:num w:numId="23">
    <w:abstractNumId w:val="8"/>
  </w:num>
  <w:num w:numId="24">
    <w:abstractNumId w:val="23"/>
  </w:num>
  <w:num w:numId="25">
    <w:abstractNumId w:val="13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84"/>
    <w:rsid w:val="000203E2"/>
    <w:rsid w:val="0009550B"/>
    <w:rsid w:val="000F48B7"/>
    <w:rsid w:val="00152519"/>
    <w:rsid w:val="001974AF"/>
    <w:rsid w:val="001A1E6D"/>
    <w:rsid w:val="001A1F74"/>
    <w:rsid w:val="001B78AF"/>
    <w:rsid w:val="001E58B0"/>
    <w:rsid w:val="002E4484"/>
    <w:rsid w:val="003205FB"/>
    <w:rsid w:val="00344F0D"/>
    <w:rsid w:val="00436EEA"/>
    <w:rsid w:val="004454C7"/>
    <w:rsid w:val="00461418"/>
    <w:rsid w:val="004D4BC1"/>
    <w:rsid w:val="005A60FF"/>
    <w:rsid w:val="005A70B1"/>
    <w:rsid w:val="006216FF"/>
    <w:rsid w:val="0065001C"/>
    <w:rsid w:val="00690B67"/>
    <w:rsid w:val="006C09DC"/>
    <w:rsid w:val="0078393F"/>
    <w:rsid w:val="007C41A3"/>
    <w:rsid w:val="0081603A"/>
    <w:rsid w:val="00861708"/>
    <w:rsid w:val="008B73FB"/>
    <w:rsid w:val="008D57FE"/>
    <w:rsid w:val="008D642F"/>
    <w:rsid w:val="00A80571"/>
    <w:rsid w:val="00AA1581"/>
    <w:rsid w:val="00B00B68"/>
    <w:rsid w:val="00B535F0"/>
    <w:rsid w:val="00BA20F5"/>
    <w:rsid w:val="00C23F62"/>
    <w:rsid w:val="00C43DC3"/>
    <w:rsid w:val="00CF0B45"/>
    <w:rsid w:val="00D070DF"/>
    <w:rsid w:val="00D235D1"/>
    <w:rsid w:val="00D539BF"/>
    <w:rsid w:val="00D6079F"/>
    <w:rsid w:val="00D95503"/>
    <w:rsid w:val="00DB6DEC"/>
    <w:rsid w:val="00E35EF7"/>
    <w:rsid w:val="00E86AA2"/>
    <w:rsid w:val="00EA1268"/>
    <w:rsid w:val="00EE5487"/>
    <w:rsid w:val="00F220C4"/>
    <w:rsid w:val="00F562A2"/>
    <w:rsid w:val="00F80783"/>
    <w:rsid w:val="00FB0D5A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F54"/>
  <w15:chartTrackingRefBased/>
  <w15:docId w15:val="{DDEC9DA5-196E-4341-A8E4-CFB47624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5A60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nhideWhenUsed/>
    <w:rsid w:val="002E44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86AA2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sid w:val="005A60F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us.zad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45</cp:revision>
  <dcterms:created xsi:type="dcterms:W3CDTF">2024-04-23T08:21:00Z</dcterms:created>
  <dcterms:modified xsi:type="dcterms:W3CDTF">2024-04-26T09:31:00Z</dcterms:modified>
</cp:coreProperties>
</file>