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2828" w:hRule="atLeast"/>
        </w:trPr>
        <w:tc>
          <w:tcPr>
            <w:tcW w:type="dxa" w:w="6379"/>
            <w:tcBorders/>
          </w:tcPr>
          <w:tbl>
            <w:tblPr>
              <w:tblStyle w:val="Reetkatablice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057"/>
              <w:gridCol w:w="2106"/>
            </w:tblGrid>
            <w:tr>
              <w:trPr>
                <w:trHeight w:val="2828" w:hRule="atLeast"/>
              </w:trPr>
              <w:tc>
                <w:tcPr>
                  <w:tcW w:type="dxa" w:w="6379"/>
                  <w:tcBorders/>
                </w:tcPr>
                <w:p>
                  <w:pPr>
                    <w:widowControl w:val="false"/>
                    <w:autoSpaceDE w:val="false"/>
                    <w:autoSpaceDN w:val="false"/>
                    <w:adjustRightInd w:val="false"/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" w:name="_Hlk128748807"/>
                  <w:r>
                    <w:rPr>
                      <w:rFonts w:ascii="Arial" w:hAnsi="Arial" w:cs="Arial"/>
                      <w:sz w:val="20"/>
                      <w:szCs w:val="20"/>
                    </w:rPr>
                    <w:object>
                      <v:shape id="_x0000_i1025" type="#_x0000_t75" style="margin-left:0pt;margin-top:0pt;width:153pt;height:42.75pt;mso-position-horizontal-relative:margin;mso-position-vertical-relative:margin;visibility:visible" o:ole="" o:bordertopcolor="#000000" o:borderleftcolor="#000000" o:borderbottomcolor="#000000" o:borderrightcolor="#000000">
                        <v:imagedata r:id="rId1" o:title=""/>
                      </v:shape>
                      <o:OLEObject Type="Embed" ProgID="Word.Picture.8" ShapeID="_x0000_i1025" DrawAspect="Content" r:id="rId2" ObjectID="_1797924189"/>
                    </w:object>
                  </w:r>
                </w:p>
                <w:p>
                  <w:pPr>
                    <w:widowControl w:val="false"/>
                    <w:autoSpaceDE w:val="false"/>
                    <w:autoSpaceDN w:val="false"/>
                    <w:adjustRightInd w:val="false"/>
                    <w: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HOTELIJERSKO-TURISTIČKA I</w:t>
                  </w:r>
                </w:p>
                <w:p>
                  <w:pPr>
                    <w:widowControl w:val="false"/>
                    <w:tabs>
                      <w:tab w:val="left" w:pos="8340"/>
                    </w:tabs>
                    <w:autoSpaceDE w:val="false"/>
                    <w:autoSpaceDN w:val="false"/>
                    <w:adjustRightInd w:val="false"/>
                    <w:spacing w:line="240" w:lineRule="atLeast"/>
                    <w:ind w:left="11" w:hanging="1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UGOSTITELJSKA ŠKOLA - ZADAR</w:t>
                  </w:r>
                </w:p>
                <w:p>
                  <w:pPr>
                    <w:widowControl w:val="false"/>
                    <w:autoSpaceDE w:val="false"/>
                    <w:autoSpaceDN w:val="false"/>
                    <w:adjustRightInd w:val="false"/>
                    <w:spacing w:line="240" w:lineRule="atLeast"/>
                    <w:ind w:left="11" w:hanging="1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Antuna Gustava Matoša 40, 23000 Zadar</w:t>
                  </w:r>
                </w:p>
                <w:p>
                  <w:pPr>
                    <w:widowControl w:val="false"/>
                    <w:autoSpaceDE w:val="false"/>
                    <w:autoSpaceDN w:val="false"/>
                    <w:adjustRightInd w:val="false"/>
                    <w: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Tel: 023 335 295 E-mail: </w:t>
                  </w:r>
                  <w:r>
                    <w:rPr/>
                    <w:fldChar w:fldCharType="begin"/>
                  </w:r>
                  <w:r>
                    <w:rPr/>
                    <w:instrText xml:space="preserve">HYPERLINK "mailto:htus@htus.htnet.hr" </w:instrText>
                  </w:r>
                  <w:r>
                    <w:rPr/>
                    <w:fldChar w:fldCharType="separate"/>
                  </w:r>
                  <w:r>
                    <w:rPr>
                      <w:rStyle w:val="Hiperveza"/>
                      <w:sz w:val="20"/>
                      <w:szCs w:val="20"/>
                    </w:rPr>
                    <w:t xml:space="preserve">htus@htus.htnet.hr</w:t>
                  </w:r>
                  <w:r>
                    <w:rPr/>
                    <w:fldChar w:fldCharType="end"/>
                  </w:r>
                </w:p>
                <w:p>
                  <w:pPr>
                    <w:spacing w:after="160" w:line="259" w:lineRule="auto"/>
                    <w:rPr>
                      <w:rFonts w:eastAsiaTheme="minorHAnsi"/>
                      <w:sz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lang w:eastAsia="en-US"/>
                    </w:rPr>
                    <w:t xml:space="preserve">KLASA:       </w:t>
                  </w:r>
                  <w:r>
                    <w:rPr>
                      <w:noProof/>
                      <w:lang w:val="en-US"/>
                    </w:rPr>
                    <w:t xml:space="preserve">400-02/25-01/1</w:t>
                  </w:r>
                  <w:r>
                    <w:rPr>
                      <w:rFonts w:eastAsiaTheme="minorHAnsi"/>
                      <w:sz w:val="22"/>
                      <w:lang w:eastAsia="en-US"/>
                    </w:rPr>
                    <w:t xml:space="preserve">                                                                                                                                        URBROJ:     </w:t>
                  </w:r>
                  <w:r>
                    <w:rPr>
                      <w:rFonts w:eastAsiaTheme="minorHAnsi"/>
                      <w:noProof/>
                      <w:sz w:val="22"/>
                      <w:lang w:eastAsia="en-US"/>
                    </w:rPr>
                    <w:t xml:space="preserve">2198-1-61-25-1</w:t>
                  </w:r>
                  <w:r>
                    <w:rPr>
                      <w:rFonts w:eastAsiaTheme="minorHAnsi"/>
                      <w:sz w:val="22"/>
                      <w:lang w:eastAsia="en-US"/>
                    </w:rPr>
                    <w:t xml:space="preserve">             </w:t>
                  </w:r>
                </w:p>
                <w:p>
                  <w:pPr>
                    <w:spacing w:after="160" w:line="259" w:lineRule="auto"/>
                    <w:rPr>
                      <w:rFonts w:eastAsiaTheme="minorHAnsi"/>
                      <w:sz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lang w:eastAsia="en-US"/>
                    </w:rPr>
                    <w:t xml:space="preserve">Zadar</w:t>
                  </w:r>
                  <w:r>
                    <w:rPr>
                      <w:rFonts w:eastAsiaTheme="minorHAnsi"/>
                      <w:sz w:val="22"/>
                      <w:lang w:eastAsia="en-US"/>
                    </w:rPr>
                    <w:t xml:space="preserve">, 27. prosinca 2024</w:t>
                  </w:r>
                  <w:r>
                    <w:rPr>
                      <w:rFonts w:eastAsiaTheme="minorHAnsi"/>
                      <w:sz w:val="22"/>
                      <w:lang w:eastAsia="en-US"/>
                    </w:rPr>
                    <w:t xml:space="preserve">. godine</w:t>
                  </w:r>
                  <w:r>
                    <w:rPr>
                      <w:rFonts w:eastAsiaTheme="minorHAnsi"/>
                      <w:sz w:val="22"/>
                      <w:lang w:eastAsia="en-US"/>
                    </w:rPr>
                    <w:t xml:space="preserve">                                                                                             </w:t>
                  </w:r>
                  <w:r>
                    <w:rPr>
                      <w:rFonts w:eastAsiaTheme="minorHAnsi"/>
                      <w:sz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type="dxa" w:w="2693"/>
                  <w:tcBorders/>
                </w:tcPr>
                <w:p>
                  <w:pPr>
                    <w:spacing w:after="160" w:line="259" w:lineRule="auto"/>
                    <w:jc w:val="right"/>
                    <w:rPr>
                      <w:rFonts w:eastAsiaTheme="minorHAnsi"/>
                      <w:sz w:val="22"/>
                      <w:lang w:eastAsia="en-US"/>
                    </w:rPr>
                  </w:pPr>
                  <w:r>
                    <w:rPr/>
                    <w:drawing>
                      <wp:inline>
                        <wp:extent cx="933580" cy="933580"/>
                        <wp:docPr id="1" name="Picture 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3" w:name="_GoBack"/>
                  <w:bookmarkEnd w:id="3"/>
                </w:p>
              </w:tc>
            </w:tr>
          </w:tbl>
          <w:p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</w:p>
        </w:tc>
      </w:tr>
    </w:tbl>
    <w:bookmarkEnd w:id="2"/>
    <w:p>
      <w:pPr>
        <w:spacing/>
        <w:rPr>
          <w:b/>
        </w:rPr>
      </w:pPr>
      <w:r>
        <w:rPr>
          <w:b/>
        </w:rPr>
        <w:t xml:space="preserve">                                  </w:t>
      </w:r>
    </w:p>
    <w:p>
      <w:pPr>
        <w:spacing/>
        <w:ind w:firstLine="708"/>
        <w:rPr>
          <w:b/>
        </w:rPr>
      </w:pPr>
      <w:r>
        <w:rPr/>
        <w:t xml:space="preserve">Na temelju članka 28. Zakona o javnoj nabavi (NN 120/16) i članka 3. Pravilnika o planu, registru ugovora, prethodnom savjetovanju i analizi tržišta o javnoj nabavi (NN, 101/17, 144/20) Hotelijersko – turističke i ugostiteljske škole Zadar, </w:t>
      </w:r>
      <w:r>
        <w:rPr/>
        <w:t xml:space="preserve">Školski odbor na prijedlog Ravnatelja, na sjednici održanoj dana</w:t>
      </w:r>
      <w:r>
        <w:rPr/>
        <w:t xml:space="preserve"> 27</w:t>
      </w:r>
      <w:r>
        <w:rPr/>
        <w:t xml:space="preserve">. 12</w:t>
      </w:r>
      <w:r>
        <w:rPr/>
        <w:t xml:space="preserve">.</w:t>
      </w:r>
      <w:r>
        <w:rPr/>
        <w:t xml:space="preserve"> 2024</w:t>
      </w:r>
      <w:r>
        <w:rPr/>
        <w:t xml:space="preserve">. </w:t>
      </w:r>
      <w:r>
        <w:rPr/>
        <w:t xml:space="preserve">godine </w:t>
      </w:r>
      <w:r>
        <w:rPr/>
        <w:t xml:space="preserve">donio je                                                               </w:t>
      </w:r>
      <w:r>
        <w:rPr>
          <w:b/>
        </w:rPr>
        <w:t xml:space="preserve">                                                </w:t>
      </w:r>
    </w:p>
    <w:p>
      <w:pPr>
        <w:spacing/>
        <w:ind w:firstLine="708"/>
        <w:rPr>
          <w:b/>
        </w:rPr>
      </w:pPr>
    </w:p>
    <w:p>
      <w:pPr>
        <w:spacing/>
        <w:jc w:val="center"/>
        <w:rPr>
          <w:b/>
        </w:rPr>
      </w:pPr>
      <w:r>
        <w:rPr>
          <w:b/>
        </w:rPr>
        <w:t xml:space="preserve">PLAN</w:t>
      </w:r>
      <w:r>
        <w:rPr>
          <w:b/>
        </w:rPr>
        <w:t xml:space="preserve">A</w:t>
      </w:r>
      <w:r>
        <w:rPr>
          <w:b/>
        </w:rPr>
        <w:t xml:space="preserve"> NABAVE </w:t>
      </w:r>
    </w:p>
    <w:p>
      <w:pPr>
        <w:spacing/>
        <w:jc w:val="center"/>
        <w:rPr>
          <w:b/>
        </w:rPr>
      </w:pPr>
      <w:r>
        <w:rPr>
          <w:b/>
        </w:rPr>
        <w:t xml:space="preserve">HOTELIJERSKO – TURISTIČKE I UGOSTITELJSKE ŠKOLE ZADAR</w:t>
      </w:r>
    </w:p>
    <w:p>
      <w:pPr>
        <w:spacing/>
        <w:jc w:val="center"/>
        <w:rPr>
          <w:b/>
        </w:rPr>
      </w:pPr>
      <w:r>
        <w:rPr>
          <w:b/>
        </w:rPr>
        <w:t xml:space="preserve">ZA 2025</w:t>
      </w:r>
      <w:r>
        <w:rPr>
          <w:b/>
        </w:rPr>
        <w:t xml:space="preserve">. GODINU</w:t>
      </w:r>
    </w:p>
    <w:p>
      <w:pPr>
        <w:spacing/>
        <w:jc w:val="center"/>
        <w:rPr>
          <w:b/>
        </w:rPr>
      </w:pPr>
    </w:p>
    <w:tbl>
      <w:tblPr>
        <w:tblStyle w:val="Reetkatablice"/>
        <w:tblW w:w="15334" w:type="dxa"/>
        <w:tblInd w:w="-86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80"/>
        <w:gridCol w:w="1179"/>
        <w:gridCol w:w="1180"/>
        <w:gridCol w:w="1179"/>
        <w:gridCol w:w="1180"/>
        <w:gridCol w:w="1179"/>
        <w:gridCol w:w="1180"/>
        <w:gridCol w:w="1179"/>
        <w:gridCol w:w="1180"/>
        <w:gridCol w:w="1179"/>
        <w:gridCol w:w="1180"/>
        <w:gridCol w:w="1180"/>
      </w:tblGrid>
      <w:tr>
        <w:trPr/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Redni broj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Brojčana oznaka predmeta nabave iz jedinstvenog rječnika javne nabave (cpv)</w:t>
            </w:r>
          </w:p>
        </w:tc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Predmet nabave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Procijenjena vrijednost nabave (u eurima)</w:t>
            </w:r>
          </w:p>
        </w:tc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Procijenjena vrijednost nabave s PDV-om (u eurima)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Vrsta postupka (uključujući jednostavne nabave)</w:t>
            </w:r>
          </w:p>
        </w:tc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Posebni režim nabave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Predmet podijeljen na grupe</w:t>
            </w:r>
          </w:p>
        </w:tc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Sklapa li se ugovor/ okvirni sporazum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Ugovor/ okvirni sporazum se financira iz fondova EU</w:t>
            </w:r>
          </w:p>
        </w:tc>
        <w:tc>
          <w:tcPr>
            <w:tcW w:type="dxa" w:w="1179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Planirani početak postupka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Planirano trajanje ugovora ili okvirnog sporazuma</w:t>
            </w:r>
          </w:p>
        </w:tc>
        <w:tc>
          <w:tcPr>
            <w:tcW w:type="dxa" w:w="1180"/>
            <w:tcBorders/>
            <w:shd w:fill="E7E6E6" w:color="auto" w:val="clear"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Napomena</w:t>
            </w: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numPr>
                <w:ilvl w:val="0"/>
                <w:numId w:val="6"/>
              </w:numPr>
              <w:spacing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09135000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Lož ulje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25.600</w:t>
            </w:r>
            <w:r>
              <w:rPr>
                <w:sz w:val="18"/>
                <w:szCs w:val="18"/>
              </w:rPr>
              <w:t xml:space="preserve">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32</w:t>
            </w:r>
            <w:r>
              <w:rPr>
                <w:b/>
                <w:sz w:val="18"/>
                <w:szCs w:val="18"/>
              </w:rPr>
              <w:t xml:space="preserve">.000,00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Otvoreni postupak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I. kvartal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12 mjeseci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zajednička nabava loživih ulja koju provodi središnje tijelo za nabavu</w:t>
            </w: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numPr>
                <w:ilvl w:val="0"/>
                <w:numId w:val="6"/>
              </w:numPr>
              <w:spacing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30192000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Uredski materijal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4.000,00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5.000,00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nabava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I. kvartal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mjeseci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numPr>
                <w:ilvl w:val="0"/>
                <w:numId w:val="6"/>
              </w:numPr>
              <w:spacing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33760000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Materijal za higijenske potrebe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3.0000,00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3.750,00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nabava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I. kvartal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mjeseci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numPr>
                <w:ilvl w:val="0"/>
                <w:numId w:val="6"/>
              </w:numPr>
              <w:spacing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60130000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Prijevoz djece s pp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20.000,00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20.000,00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Jednostavna nabava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Ne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III. kvartal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mjeseci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numPr>
                <w:ilvl w:val="0"/>
                <w:numId w:val="6"/>
              </w:numPr>
              <w:spacing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15800000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Razni prehrambeni proizvodi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20.000,00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25.000,00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Jednostavna nabava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Ne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I. kvartal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mjeseci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</w:tr>
      <w:tr>
        <w:trPr/>
        <w:tc>
          <w:tcPr>
            <w:tcW w:type="dxa" w:w="1179"/>
            <w:tcBorders/>
            <w:vAlign w:val="center"/>
          </w:tcPr>
          <w:p>
            <w:pPr>
              <w:pStyle w:val="Odlomakpopisa"/>
              <w:numPr>
                <w:ilvl w:val="0"/>
                <w:numId w:val="6"/>
              </w:numPr>
              <w:spacing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85140000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Obvezni i preventivni zdravstveni pregledi zaposlenika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4.500,00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4.500,00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Jednostavna nabava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Ugovor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Ne</w:t>
            </w:r>
          </w:p>
        </w:tc>
        <w:tc>
          <w:tcPr>
            <w:tcW w:type="dxa" w:w="1179"/>
            <w:tcBorders/>
            <w:vAlign w:val="center"/>
          </w:tcPr>
          <w:p>
            <w:pPr>
              <w:spacing/>
              <w:jc w:val="center"/>
              <w:rPr/>
            </w:pPr>
            <w:r>
              <w:rPr>
                <w:sz w:val="18"/>
                <w:szCs w:val="18"/>
              </w:rPr>
              <w:t xml:space="preserve">III. kvartal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mjeseci</w:t>
            </w:r>
          </w:p>
        </w:tc>
        <w:tc>
          <w:tcPr>
            <w:tcW w:type="dxa" w:w="1180"/>
            <w:tcBorders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/>
        <w:jc w:val="center"/>
        <w:rPr>
          <w:b/>
        </w:rPr>
      </w:pPr>
    </w:p>
    <w:p>
      <w:pPr>
        <w:spacing w:before="240"/>
        <w:ind w:firstLine="708"/>
        <w:rPr/>
      </w:pPr>
      <w:r>
        <w:rPr>
          <w:b/>
        </w:rPr>
        <w:t xml:space="preserve">Plan nabave</w:t>
      </w:r>
      <w:r>
        <w:rPr/>
        <w:t xml:space="preserve"> temelji se na Financijskom planu Hotelijersko – turističke i u</w:t>
      </w:r>
      <w:r>
        <w:rPr/>
        <w:t xml:space="preserve">gostiteljske škole Zadar za 2025</w:t>
      </w:r>
      <w:r>
        <w:rPr/>
        <w:t xml:space="preserve">. godinu i Pravilnika o jednostavnoj nabavi Škole, a bit će objavljen na mrežnoj stranici Škole u roku od 60 dana od dana </w:t>
      </w:r>
      <w:r>
        <w:rPr/>
        <w:t xml:space="preserve">usvajanja plana.</w:t>
      </w:r>
    </w:p>
    <w:p>
      <w:pPr>
        <w:spacing/>
        <w:rPr/>
      </w:pPr>
    </w:p>
    <w:p>
      <w:pPr>
        <w:spacing/>
        <w:rPr/>
      </w:pPr>
    </w:p>
    <w:p>
      <w:pPr>
        <w:spacing w:line="360" w:lineRule="auto"/>
        <w:rPr>
          <w:b/>
        </w:rPr>
      </w:pPr>
      <w:r>
        <w:rPr>
          <w:b/>
        </w:rPr>
        <w:t xml:space="preserve">R</w:t>
      </w:r>
      <w:r>
        <w:rPr>
          <w:b/>
        </w:rPr>
        <w:t xml:space="preserve">avnateljica:</w:t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 xml:space="preserve">Predsjednik</w:t>
      </w:r>
      <w:r>
        <w:rPr>
          <w:b/>
        </w:rPr>
        <w:t xml:space="preserve"> ŠO-a :</w:t>
      </w:r>
    </w:p>
    <w:p>
      <w:pPr>
        <w:spacing w:line="360" w:lineRule="auto"/>
        <w:rPr>
          <w:b/>
        </w:rPr>
      </w:pPr>
      <w:r>
        <w:rPr>
          <w:b/>
        </w:rPr>
        <w:t xml:space="preserve">Diana Radić Škara, prof.</w:t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ab/>
        <w:t xml:space="preserve"/>
      </w:r>
      <w:r>
        <w:rPr>
          <w:b/>
        </w:rPr>
        <w:t xml:space="preserve">Ivan Matešić, prof.</w:t>
      </w:r>
    </w:p>
    <w:sectPr>
      <w:type w:val="nextPage"/>
      <w:pgSz w:w="16838" w:h="11906" w:orient="landscape"/>
      <w:pgMar w:top="426" w:right="1417" w:bottom="426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2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8E2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187C1102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28A62B3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2BE2328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3D4C3C44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4F170A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69290CE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7C510CD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eastAsia="Times New Roman" w:cs="Segoe UI"/>
      <w:sz w:val="18"/>
      <w:szCs w:val="18"/>
      <w:lang w:eastAsia="hr-HR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1" Type="http://schemas.openxmlformats.org/officeDocument/2006/relationships/image" Target="media/image1.wmf" /><Relationship Id="rId3" Type="http://schemas.openxmlformats.org/officeDocument/2006/relationships/image" Target="media/image2.png" /><Relationship Id="rId2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108</TotalTime>
  <Pages>1</Pages>
  <Words>485</Words>
  <Characters>2769</Characters>
  <Application>Microsoft Office Word</Application>
  <DocSecurity>0</DocSecurity>
  <Lines>23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Racunovodja</cp:lastModifiedBy>
  <cp:lastPrinted>2023-11-21T09:09:00Z</cp:lastPrinted>
  <cp:revision>9</cp:revision>
  <dcterms:created xsi:type="dcterms:W3CDTF">2023-12-22T08:47:00Z</dcterms:created>
  <dcterms:modified xsi:type="dcterms:W3CDTF">2025-01-09T09:37:00Z</dcterms:modified>
</cp:coreProperties>
</file>