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9650A1">
        <w:trPr>
          <w:trHeight w:val="2828"/>
        </w:trPr>
        <w:tc>
          <w:tcPr>
            <w:tcW w:w="6379" w:type="dxa"/>
          </w:tcPr>
          <w:bookmarkStart w:id="0" w:name="_Hlk128748807"/>
          <w:p w:rsidR="009650A1" w:rsidRDefault="00B327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3060" w:dyaOrig="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42.75pt;visibility:visible;mso-position-horizontal-relative:margin;mso-position-vertical-relative:margin" o:ole="" o:bordertopcolor="black" o:borderleftcolor="black" o:borderbottomcolor="black" o:borderrightcolor="black">
                  <v:imagedata r:id="rId5" o:title=""/>
                </v:shape>
                <o:OLEObject Type="Embed" ProgID="Word.Picture.8" ShapeID="_x0000_i1025" DrawAspect="Content" ObjectID="_1810974398" r:id="rId6"/>
              </w:object>
            </w:r>
          </w:p>
          <w:p w:rsidR="009650A1" w:rsidRDefault="00B32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HOTELIJERSKO-TURISTIČKA I</w:t>
            </w:r>
          </w:p>
          <w:p w:rsidR="009650A1" w:rsidRDefault="00B3271A">
            <w:pPr>
              <w:widowControl w:val="0"/>
              <w:tabs>
                <w:tab w:val="left" w:pos="8340"/>
              </w:tabs>
              <w:autoSpaceDE w:val="0"/>
              <w:autoSpaceDN w:val="0"/>
              <w:adjustRightInd w:val="0"/>
              <w:spacing w:line="240" w:lineRule="atLeast"/>
              <w:ind w:left="11" w:hanging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UGOSTITELJSKA ŠKOLA - ZADAR</w:t>
            </w:r>
          </w:p>
          <w:p w:rsidR="009650A1" w:rsidRDefault="00B3271A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Antuna Gustava Matoša 40, 23000 Zadar</w:t>
            </w:r>
          </w:p>
          <w:p w:rsidR="009650A1" w:rsidRDefault="00B32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023 335 295 E-mail: </w:t>
            </w:r>
            <w:hyperlink r:id="rId7" w:history="1">
              <w:r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htus@htus.htnet.hr</w:t>
              </w:r>
            </w:hyperlink>
          </w:p>
          <w:p w:rsidR="009650A1" w:rsidRDefault="00B3271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400-02/25-01/5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</w:rPr>
              <w:t>2198-1-61-25-1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9650A1" w:rsidRDefault="00B3271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Zadar, 5. lipnja 2025. godine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2693" w:type="dxa"/>
          </w:tcPr>
          <w:p w:rsidR="009650A1" w:rsidRDefault="00B3271A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9650A1" w:rsidRDefault="009650A1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0A1" w:rsidRDefault="009650A1">
      <w:pPr>
        <w:jc w:val="both"/>
      </w:pPr>
    </w:p>
    <w:p w:rsidR="009650A1" w:rsidRDefault="00B3271A">
      <w:pPr>
        <w:spacing w:after="0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PREDMET:</w:t>
      </w:r>
    </w:p>
    <w:p w:rsidR="009650A1" w:rsidRDefault="00B3271A">
      <w:pPr>
        <w:spacing w:after="0"/>
        <w:ind w:left="-709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Obrazloženje prijedloga izmjena i dopuna financijskog plana</w:t>
      </w:r>
    </w:p>
    <w:p w:rsidR="009650A1" w:rsidRDefault="00B3271A">
      <w:pPr>
        <w:spacing w:after="0"/>
        <w:ind w:left="-709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2025. – Rebalans 1</w:t>
      </w:r>
    </w:p>
    <w:p w:rsidR="009650A1" w:rsidRDefault="009650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0A1" w:rsidRDefault="00B327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 PODACI O ŠKOLI</w:t>
      </w:r>
    </w:p>
    <w:p w:rsidR="009650A1" w:rsidRDefault="00B327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Hotelijersko – turistička i ugostiteljska škola Zadar je javna ustanova srednjeg odgoja i obrazovanja. Osnivač je Zadarska županija (Rješenje Ministarstva prosvjete i športa, KLASA: 602-03/92-01-769, URBROJ: 532-02-6/3-93-01, od 8. veljače 1993. godine).</w:t>
      </w:r>
    </w:p>
    <w:p w:rsidR="009650A1" w:rsidRDefault="00B327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kola djeluje u zgradi izgrađenoj 1972. godine, smještenoj izvan grada pa većina učenika putuje javnim gradskim ili međugradskim prijevozom. Prostor se dijeli s Ekonomskom- birotehničkom i trgovačkom školom Zadar </w:t>
      </w:r>
      <w:r>
        <w:rPr>
          <w:rFonts w:ascii="Times New Roman" w:hAnsi="Times New Roman" w:cs="Times New Roman"/>
          <w:sz w:val="24"/>
          <w:szCs w:val="24"/>
        </w:rPr>
        <w:t>te raspolaže sa 15 specijaliziranih učionica</w:t>
      </w:r>
      <w:r>
        <w:rPr>
          <w:rFonts w:ascii="Times New Roman" w:hAnsi="Times New Roman" w:cs="Times New Roman"/>
          <w:sz w:val="24"/>
          <w:szCs w:val="24"/>
        </w:rPr>
        <w:t>, 5 praktikuma s garderobama, 9 kabineta, dvorane za tjelesni odgoj, vanjskim igralištem i knjižnicom.</w:t>
      </w:r>
    </w:p>
    <w:p w:rsidR="009650A1" w:rsidRDefault="00B327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Škola obrazuje učenike za zanimanja: kuhar, konobar, slas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tičar, turističko- hotelijerski komercijalist, hotelijersko- turistički tehničar, pomoćni kuhar </w:t>
      </w:r>
      <w:r>
        <w:rPr>
          <w:rFonts w:ascii="Times New Roman" w:eastAsia="Times New Roman" w:hAnsi="Times New Roman" w:cs="Times New Roman"/>
          <w:sz w:val="24"/>
          <w:szCs w:val="24"/>
        </w:rPr>
        <w:t>i slastičar (učenici s teškoćama u razvoju), pomoćni konobar (učenici s teškoćama u razvoju).</w:t>
      </w:r>
    </w:p>
    <w:p w:rsidR="009650A1" w:rsidRDefault="009650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0A1" w:rsidRDefault="00B327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IZVORI FINANCIRANJA</w:t>
      </w:r>
    </w:p>
    <w:p w:rsidR="009650A1" w:rsidRDefault="00B3271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se financira sredstvima</w:t>
      </w:r>
      <w:r>
        <w:rPr>
          <w:rFonts w:ascii="Times New Roman" w:hAnsi="Times New Roman" w:cs="Times New Roman"/>
          <w:b/>
          <w:sz w:val="24"/>
          <w:szCs w:val="24"/>
        </w:rPr>
        <w:t xml:space="preserve"> Ministarstva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znanosti, obrazovanja i mladih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(plaće i doprinosi na plaće, materijalna prava radnika iz Kolektivn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 ugovora, naknada za nezapošljavanje osoba s invaliditetom), decentraliziranim sredstvima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Zadarske županije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(materijalni izdaci), kao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vlastitim sredstvima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sredstvima dobivenima putem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EU projekata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50A1" w:rsidRDefault="009650A1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0A1" w:rsidRDefault="00B3271A">
      <w:pPr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OBRAZLOŽENJE REBALANSA 1 ZA 2025. GODINU</w:t>
      </w:r>
    </w:p>
    <w:p w:rsidR="009650A1" w:rsidRDefault="00B3271A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skladu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čl. 29. i 30. Zakona o proračunu (NN 87/08, 136/12, 15/15 i 144/21) i Zakona o fiskalnoj odgovornosti (NN 139/10, 19/14, 111/18) te nizom drugih propisa koji uređuju područje stjecanja i raspoređivanja proračunskih sredstava (Pravilnik o proračunskom raču</w:t>
      </w:r>
      <w:r>
        <w:rPr>
          <w:rFonts w:ascii="Times New Roman" w:eastAsia="Times New Roman" w:hAnsi="Times New Roman" w:cs="Times New Roman"/>
          <w:sz w:val="24"/>
          <w:szCs w:val="24"/>
        </w:rPr>
        <w:t>novodstvu i računskom planu, Pravilnik o proračunskim klasifikacijama), donesene su izmjene i dopune financijskog plana proračunskog korisnika za 2025. godinu – Rebalans 1.</w:t>
      </w:r>
    </w:p>
    <w:p w:rsidR="009650A1" w:rsidRDefault="00B3271A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Rebalans 1 sadrži prihode i primitke iskazane po vrstama i po izvorima iz kojih potječu te rashode i izdatke razvrstane prema izvorima financiranja, predviđene za potrebe škole do kraja godine.</w:t>
      </w:r>
    </w:p>
    <w:p w:rsidR="009650A1" w:rsidRDefault="00B3271A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Svi prihodi i primici kao i rashodi i izdaci utvrđeni ovim reb</w:t>
      </w:r>
      <w:r>
        <w:rPr>
          <w:rFonts w:ascii="Times New Roman" w:eastAsia="Times New Roman" w:hAnsi="Times New Roman" w:cs="Times New Roman"/>
          <w:sz w:val="24"/>
          <w:szCs w:val="24"/>
        </w:rPr>
        <w:t>alansom su uravnoteženi.</w:t>
      </w:r>
    </w:p>
    <w:p w:rsidR="009650A1" w:rsidRDefault="00B3271A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Ravnatelj škole odgovoran je za zakonito i pravilno planiranje i izvršavanje financijskog plana.</w:t>
      </w:r>
    </w:p>
    <w:p w:rsidR="009650A1" w:rsidRDefault="009650A1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0A1" w:rsidRDefault="00B3271A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školi se provode 3 programa koji se financiraju iz različitih izvora financiranja:</w:t>
      </w:r>
    </w:p>
    <w:p w:rsidR="009650A1" w:rsidRDefault="00B3271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2204 – Srednje školstvo-standard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650A1">
        <w:tc>
          <w:tcPr>
            <w:tcW w:w="1812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Razdjel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2025.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Rebalans 1 2025.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 Rebalans/Plan</w:t>
            </w:r>
          </w:p>
        </w:tc>
      </w:tr>
      <w:tr w:rsidR="009650A1">
        <w:tc>
          <w:tcPr>
            <w:tcW w:w="1812" w:type="dxa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</w:t>
            </w:r>
          </w:p>
        </w:tc>
        <w:tc>
          <w:tcPr>
            <w:tcW w:w="1812" w:type="dxa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</w:t>
            </w:r>
          </w:p>
        </w:tc>
        <w:tc>
          <w:tcPr>
            <w:tcW w:w="1812" w:type="dxa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2.313.064,75</w:t>
            </w:r>
          </w:p>
        </w:tc>
        <w:tc>
          <w:tcPr>
            <w:tcW w:w="1813" w:type="dxa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2.346.178,97</w:t>
            </w:r>
          </w:p>
        </w:tc>
        <w:tc>
          <w:tcPr>
            <w:tcW w:w="1813" w:type="dxa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101,43</w:t>
            </w:r>
          </w:p>
        </w:tc>
      </w:tr>
    </w:tbl>
    <w:p w:rsidR="009650A1" w:rsidRDefault="00965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A1" w:rsidRDefault="00B3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„2204 - Srednje školstvo-standard“ namijenjen je financiranju temeljnih potreba za</w:t>
      </w:r>
    </w:p>
    <w:p w:rsidR="009650A1" w:rsidRDefault="00B3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poslovanje škole. Iz sredstava navedenog programa po</w:t>
      </w:r>
      <w:r>
        <w:rPr>
          <w:rFonts w:ascii="Times New Roman" w:hAnsi="Times New Roman" w:cs="Times New Roman"/>
          <w:sz w:val="24"/>
          <w:szCs w:val="24"/>
        </w:rPr>
        <w:t>krivaju se materijalni rashodi škole i</w:t>
      </w:r>
    </w:p>
    <w:p w:rsidR="009650A1" w:rsidRDefault="00B32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financiraju plaće djelatnika.</w:t>
      </w:r>
    </w:p>
    <w:p w:rsidR="009650A1" w:rsidRDefault="00B32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2204 provodi se kroz sljedeće aktivnosti:</w:t>
      </w:r>
    </w:p>
    <w:p w:rsidR="009650A1" w:rsidRDefault="00B3271A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 A2204-01 – Djelatnost srednjih škola</w:t>
      </w:r>
    </w:p>
    <w:p w:rsidR="009650A1" w:rsidRDefault="00B3271A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 A2204-07 – Administracija i upravljanje</w:t>
      </w:r>
    </w:p>
    <w:p w:rsidR="009650A1" w:rsidRDefault="009650A1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A1" w:rsidRDefault="00B3271A">
      <w:pPr>
        <w:pStyle w:val="Odlomakpopisa"/>
        <w:numPr>
          <w:ilvl w:val="0"/>
          <w:numId w:val="7"/>
        </w:numPr>
        <w:spacing w:after="0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Djelatnost srednjih škola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650A1">
        <w:tc>
          <w:tcPr>
            <w:tcW w:w="1812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Razdjel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</w:t>
            </w:r>
            <w:r>
              <w:rPr>
                <w:rFonts w:ascii="Times New Roman" w:hAnsi="Times New Roman" w:cs="Times New Roman"/>
              </w:rPr>
              <w:t>nost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2025.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Rebalans 1 2025.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 Rebalans/Plan</w:t>
            </w:r>
          </w:p>
        </w:tc>
      </w:tr>
      <w:tr w:rsidR="009650A1">
        <w:tc>
          <w:tcPr>
            <w:tcW w:w="1812" w:type="dxa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</w:t>
            </w:r>
          </w:p>
        </w:tc>
        <w:tc>
          <w:tcPr>
            <w:tcW w:w="1812" w:type="dxa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2204-01</w:t>
            </w:r>
          </w:p>
        </w:tc>
        <w:tc>
          <w:tcPr>
            <w:tcW w:w="1812" w:type="dxa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160.864,75</w:t>
            </w:r>
          </w:p>
        </w:tc>
        <w:tc>
          <w:tcPr>
            <w:tcW w:w="1813" w:type="dxa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193.978,97</w:t>
            </w:r>
          </w:p>
        </w:tc>
        <w:tc>
          <w:tcPr>
            <w:tcW w:w="1813" w:type="dxa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120,59</w:t>
            </w:r>
          </w:p>
        </w:tc>
      </w:tr>
    </w:tbl>
    <w:p w:rsidR="009650A1" w:rsidRDefault="009650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A1" w:rsidRDefault="00B32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 i sredstva namijenjena su financiranju materijalnih rashoda š</w:t>
      </w:r>
      <w:r>
        <w:rPr>
          <w:rFonts w:ascii="Times New Roman" w:hAnsi="Times New Roman" w:cs="Times New Roman"/>
          <w:sz w:val="24"/>
          <w:szCs w:val="24"/>
        </w:rPr>
        <w:t>kole, a koji se sastoje od troška prijevoza zaposlenika s posla i na posao, službena putovanja i usavršavanje zaposlenika, za podmirivanje troška uredskog materijala te materijala za čišćenje i higijenu, komunalne usluge, grijanje, usluge održavanja računa</w:t>
      </w:r>
      <w:r>
        <w:rPr>
          <w:rFonts w:ascii="Times New Roman" w:hAnsi="Times New Roman" w:cs="Times New Roman"/>
          <w:sz w:val="24"/>
          <w:szCs w:val="24"/>
        </w:rPr>
        <w:t xml:space="preserve">la, usluge i materijal za redovno i investicijsko održavanje zgrade i prostorija, osiguranje, članarine i ostali rashodi i izdaci povezani s redovnim radom škole. </w:t>
      </w:r>
    </w:p>
    <w:p w:rsidR="009650A1" w:rsidRDefault="00B32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 zasnivaju se na stanju tekuće 2025. godine te su uspoređeni s prethodnim go</w:t>
      </w:r>
      <w:r>
        <w:rPr>
          <w:rFonts w:ascii="Times New Roman" w:hAnsi="Times New Roman" w:cs="Times New Roman"/>
          <w:sz w:val="24"/>
          <w:szCs w:val="24"/>
        </w:rPr>
        <w:t xml:space="preserve">dinama, no kako za ovu aktivnost škola dobije limit koji ne smije prekoračiti sredstva su raspoređena prema mogućnostima. Iako je Rebalansom 1 limit za financiranje materijalnih rashoda povećan, škola će pokušati što racionalnije trošiti odobrena sredstva </w:t>
      </w:r>
      <w:r>
        <w:rPr>
          <w:rFonts w:ascii="Times New Roman" w:hAnsi="Times New Roman" w:cs="Times New Roman"/>
          <w:sz w:val="24"/>
          <w:szCs w:val="24"/>
        </w:rPr>
        <w:t>te će štedjeti na svim stavkama plana.</w:t>
      </w:r>
    </w:p>
    <w:p w:rsidR="009650A1" w:rsidRDefault="009650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A1" w:rsidRDefault="00B3271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Administracija i upravljanje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650A1">
        <w:tc>
          <w:tcPr>
            <w:tcW w:w="1812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Razdjel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2025.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Rebalans 1 2025.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 Rebalans/Plan</w:t>
            </w:r>
          </w:p>
        </w:tc>
      </w:tr>
      <w:tr w:rsidR="009650A1">
        <w:tc>
          <w:tcPr>
            <w:tcW w:w="1812" w:type="dxa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</w:t>
            </w:r>
          </w:p>
        </w:tc>
        <w:tc>
          <w:tcPr>
            <w:tcW w:w="1812" w:type="dxa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2204-07</w:t>
            </w:r>
          </w:p>
        </w:tc>
        <w:tc>
          <w:tcPr>
            <w:tcW w:w="1812" w:type="dxa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2.152.200,00</w:t>
            </w:r>
          </w:p>
        </w:tc>
        <w:tc>
          <w:tcPr>
            <w:tcW w:w="1813" w:type="dxa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2.152.200,00</w:t>
            </w:r>
          </w:p>
        </w:tc>
        <w:tc>
          <w:tcPr>
            <w:tcW w:w="1813" w:type="dxa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</w:tr>
    </w:tbl>
    <w:p w:rsidR="009650A1" w:rsidRDefault="009650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A1" w:rsidRDefault="00B32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aktivnosti Administracija i upravljanje planiraju se sredstv</w:t>
      </w:r>
      <w:r>
        <w:rPr>
          <w:rFonts w:ascii="Times New Roman" w:hAnsi="Times New Roman" w:cs="Times New Roman"/>
          <w:sz w:val="24"/>
          <w:szCs w:val="24"/>
        </w:rPr>
        <w:t xml:space="preserve">a za rashode plaća zaposlenika škole, doprinosi iz plaće, rashodi za materijalna prava koja zaposlenici imaju prema Kolektivnom ugovoru te naknada za nezapošljavanje osoba s invaliditetom. </w:t>
      </w:r>
    </w:p>
    <w:p w:rsidR="009650A1" w:rsidRDefault="00B32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Rebalansom 1 nisu povećani iznosi u odnosu na izvorni plan za 2025. godinu jer se procjenjuje kako su navedeni iznosi dovoljni za potpuno pokriće predviđenih troškova.</w:t>
      </w:r>
    </w:p>
    <w:p w:rsidR="009650A1" w:rsidRDefault="009650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A1" w:rsidRDefault="00B3271A">
      <w:pPr>
        <w:pStyle w:val="Odlomakpopisa"/>
        <w:numPr>
          <w:ilvl w:val="0"/>
          <w:numId w:val="23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2205 – srednje školstvo – iznad standarda</w:t>
      </w:r>
    </w:p>
    <w:p w:rsidR="009650A1" w:rsidRDefault="009650A1">
      <w:pPr>
        <w:pStyle w:val="Odlomakpopisa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650A1" w:rsidRDefault="00B3271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„2205 - Srednje školstvo – i</w:t>
      </w:r>
      <w:r>
        <w:rPr>
          <w:rFonts w:ascii="Times New Roman" w:hAnsi="Times New Roman" w:cs="Times New Roman"/>
          <w:sz w:val="24"/>
          <w:szCs w:val="24"/>
        </w:rPr>
        <w:t>znad standarda“ namijenjen je za podizanje kvalitete i</w:t>
      </w:r>
    </w:p>
    <w:p w:rsidR="009650A1" w:rsidRDefault="00B3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standarda u školstvu. Kroz navedeni program nastoji se podići nastavni standard na višu razinu,</w:t>
      </w:r>
    </w:p>
    <w:p w:rsidR="009650A1" w:rsidRDefault="00B3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uključiti učenike u što više aktivnosti, motivirati i povećati sposobnosti učenika njihovim</w:t>
      </w:r>
    </w:p>
    <w:p w:rsidR="009650A1" w:rsidRDefault="00B3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sudjelovanjem</w:t>
      </w:r>
      <w:r>
        <w:rPr>
          <w:rFonts w:ascii="Times New Roman" w:hAnsi="Times New Roman" w:cs="Times New Roman"/>
          <w:sz w:val="24"/>
          <w:szCs w:val="24"/>
        </w:rPr>
        <w:t xml:space="preserve"> i radom.</w:t>
      </w:r>
      <w:r>
        <w:cr/>
      </w:r>
      <w:r>
        <w:rPr>
          <w:rFonts w:ascii="Times New Roman" w:hAnsi="Times New Roman" w:cs="Times New Roman"/>
          <w:sz w:val="24"/>
          <w:szCs w:val="24"/>
        </w:rPr>
        <w:t>Program 2205 provodi se kroz više aktivnosti, kao što su Javne potrebe u prosvjeti, Natjecanja i smotre, Projekt e-škole, Zalihe menstrualnih higijenskih potrepština i slično i za njih sredstva planiraju nadležni upravni odjel, a samo za sljedeću</w:t>
      </w:r>
      <w:r>
        <w:rPr>
          <w:rFonts w:ascii="Times New Roman" w:hAnsi="Times New Roman" w:cs="Times New Roman"/>
          <w:sz w:val="24"/>
          <w:szCs w:val="24"/>
        </w:rPr>
        <w:t xml:space="preserve"> aktivnost prihode i rashode planira škola u svom financijskom planu:</w:t>
      </w:r>
    </w:p>
    <w:p w:rsidR="009650A1" w:rsidRDefault="00965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A1" w:rsidRDefault="00B3271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 A2205-12 – Podizanje kvalitete i standarda u školstvu</w:t>
      </w:r>
    </w:p>
    <w:p w:rsidR="009650A1" w:rsidRDefault="009650A1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0A1" w:rsidRDefault="00B327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Podizanje kvalitete i standarda u školstvu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650A1">
        <w:tc>
          <w:tcPr>
            <w:tcW w:w="1812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Razdjel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2025.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Rebalans 1 2025.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 Rebalans/Plan</w:t>
            </w:r>
          </w:p>
        </w:tc>
      </w:tr>
      <w:tr w:rsidR="009650A1">
        <w:tc>
          <w:tcPr>
            <w:tcW w:w="1812" w:type="dxa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</w:t>
            </w:r>
          </w:p>
        </w:tc>
        <w:tc>
          <w:tcPr>
            <w:tcW w:w="1812" w:type="dxa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2205-12</w:t>
            </w:r>
          </w:p>
        </w:tc>
        <w:tc>
          <w:tcPr>
            <w:tcW w:w="1812" w:type="dxa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55.250,00</w:t>
            </w:r>
          </w:p>
        </w:tc>
        <w:tc>
          <w:tcPr>
            <w:tcW w:w="1813" w:type="dxa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88.626,31</w:t>
            </w:r>
          </w:p>
        </w:tc>
        <w:tc>
          <w:tcPr>
            <w:tcW w:w="1813" w:type="dxa"/>
            <w:vAlign w:val="center"/>
          </w:tcPr>
          <w:p w:rsidR="009650A1" w:rsidRDefault="00B32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160,41</w:t>
            </w:r>
          </w:p>
        </w:tc>
      </w:tr>
    </w:tbl>
    <w:p w:rsidR="009650A1" w:rsidRDefault="00965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A1" w:rsidRDefault="00B3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Kroz aktivnost A2205-12 škola ostvaruje prihode obavljanjem poslova na tržištu, a to su: namjenski prihodi (izdavanje duplikata svjedodžbi), vlastit prihodi: najam dvorane, najam prostora za tople napitke, pružanje uslu</w:t>
      </w:r>
      <w:r>
        <w:rPr>
          <w:rFonts w:ascii="Times New Roman" w:hAnsi="Times New Roman" w:cs="Times New Roman"/>
          <w:sz w:val="24"/>
          <w:szCs w:val="24"/>
        </w:rPr>
        <w:t>ga cateringa za različite prigode ili najam praktikuma za polaganje majstorskih ispita. Novčana sredstva uplaćuju se na jedinstveni račun Zadarske županije, što je definirano čl. 60 Zakona o Proračunu (NN 87/08, 136/12, 15/15, 144/21). Kroz sustav Županijs</w:t>
      </w:r>
      <w:r>
        <w:rPr>
          <w:rFonts w:ascii="Times New Roman" w:hAnsi="Times New Roman" w:cs="Times New Roman"/>
          <w:sz w:val="24"/>
          <w:szCs w:val="24"/>
        </w:rPr>
        <w:t xml:space="preserve">ke riznice osigurani su svi podaci na temelju kojih se prati ostvarivanje planiranih prihoda i rashoda. </w:t>
      </w:r>
    </w:p>
    <w:p w:rsidR="009650A1" w:rsidRDefault="00B3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sredstva škole troše se zakonski i namjenski i koriste se za unaprjeđenje nastavno – obrazovnog procesa, administrativnih procesa te redovnog i izv</w:t>
      </w:r>
      <w:r>
        <w:rPr>
          <w:rFonts w:ascii="Times New Roman" w:hAnsi="Times New Roman" w:cs="Times New Roman"/>
          <w:sz w:val="24"/>
          <w:szCs w:val="24"/>
        </w:rPr>
        <w:t xml:space="preserve">anrednog održavanja prostora unutar i van škole. </w:t>
      </w:r>
    </w:p>
    <w:p w:rsidR="009650A1" w:rsidRDefault="00B3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planirana su sredstva iz Državnog proračuna, odnosno pomoći iz Ministarstva znanosti i obrazovanja, na temelju uplata iz prethodnih godina, a za primjerice besplatne udžbenike učenicima slabijeg soc</w:t>
      </w:r>
      <w:r>
        <w:rPr>
          <w:rFonts w:ascii="Times New Roman" w:hAnsi="Times New Roman" w:cs="Times New Roman"/>
          <w:sz w:val="24"/>
          <w:szCs w:val="24"/>
        </w:rPr>
        <w:t>io-ekonomskog statusa, naknadu za prijevoz učenicima s posebnim potreba, novčana sredstva za opremanje knjižnica (lektire, stručna i nastavna literatura) i drugo.</w:t>
      </w:r>
    </w:p>
    <w:p w:rsidR="009650A1" w:rsidRDefault="00965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A1" w:rsidRDefault="00B3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rasta cijena usluga i dobara na tržištu, dio rashoda škola će financirati iz vlastitih </w:t>
      </w:r>
      <w:r>
        <w:rPr>
          <w:rFonts w:ascii="Times New Roman" w:hAnsi="Times New Roman" w:cs="Times New Roman"/>
          <w:sz w:val="24"/>
          <w:szCs w:val="24"/>
        </w:rPr>
        <w:t>i namjenskih prihoda.</w:t>
      </w:r>
    </w:p>
    <w:p w:rsidR="009650A1" w:rsidRDefault="009650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A1" w:rsidRDefault="00B3271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4306 – Nacionalni EU projekti</w:t>
      </w:r>
    </w:p>
    <w:p w:rsidR="009650A1" w:rsidRDefault="009650A1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A1" w:rsidRDefault="00B3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„4306 – Nacionalni EU projekti“ namijenjena je financiranju projekta T4306-03 –Inkluzija – korak bliže društvu bez prepreka faza V., </w:t>
      </w:r>
    </w:p>
    <w:p w:rsidR="009650A1" w:rsidRDefault="00965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A1" w:rsidRDefault="00965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A1" w:rsidRDefault="00B32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kojem se osiguravanju sredstva za plaće pomoćnika u nastavi s ciljem pružanja potpore uključivanju učenika s teškoćama u razvoju u njima primjerene programe odgoja i obrazovanja </w:t>
      </w:r>
      <w:r>
        <w:rPr>
          <w:rFonts w:ascii="Times New Roman" w:hAnsi="Times New Roman" w:cs="Times New Roman"/>
          <w:sz w:val="24"/>
          <w:szCs w:val="24"/>
        </w:rPr>
        <w:lastRenderedPageBreak/>
        <w:t>u osnovnoškolskim i srednjoškolskim odgojno – obrazovnim ustanovama. Za nave</w:t>
      </w:r>
      <w:r>
        <w:rPr>
          <w:rFonts w:ascii="Times New Roman" w:hAnsi="Times New Roman" w:cs="Times New Roman"/>
          <w:sz w:val="24"/>
          <w:szCs w:val="24"/>
        </w:rPr>
        <w:t>deni projekt škola ne radi plan, jer je za njegovo planiranje zadužena vanjska Agencija.</w:t>
      </w:r>
    </w:p>
    <w:p w:rsidR="009650A1" w:rsidRDefault="009650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A1" w:rsidRDefault="00B3271A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Rebalansom 1 sredstva su se rasporedila kako bi se podigla kvaliteta nastave na što višu razinu i to kontinuiranim kvalitetnim usavršavanjem nastavnika, sudjelovanjem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seminarima i stručnim skupovima te podizanjem materijalnih i drugih uvjeta u školi, a sve u skladu s Planom i programom škole i njenim mogućnostima.</w:t>
      </w:r>
    </w:p>
    <w:p w:rsidR="009650A1" w:rsidRDefault="009650A1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0A1" w:rsidRDefault="00B3271A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Škola se kod učenika trudi razviti samoinicijativnost, marljivost, odgovornost, ali i njihovu poduzetn</w:t>
      </w:r>
      <w:r>
        <w:rPr>
          <w:rFonts w:ascii="Times New Roman" w:eastAsia="Times New Roman" w:hAnsi="Times New Roman" w:cs="Times New Roman"/>
          <w:sz w:val="24"/>
          <w:szCs w:val="24"/>
        </w:rPr>
        <w:t>ost kroz uključivanje u razne slobodne aktivnosti, sudjelovanje u manifestacijama, natjecanja, vježbeničke prakse, kao i druge školske projekte te ih osposobiti za rad ili nastavak školovanja prema zahtjevima tržišnog gospodarstva.</w:t>
      </w:r>
    </w:p>
    <w:p w:rsidR="009650A1" w:rsidRDefault="009650A1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0A1" w:rsidRDefault="00B3271A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nadalje će se odgovor</w:t>
      </w:r>
      <w:r>
        <w:rPr>
          <w:rFonts w:ascii="Times New Roman" w:eastAsia="Times New Roman" w:hAnsi="Times New Roman" w:cs="Times New Roman"/>
          <w:sz w:val="24"/>
          <w:szCs w:val="24"/>
        </w:rPr>
        <w:t>no, zakonito, namjenski, transparentno i svrhovito koristiti proračunska sredstva, kroz pravilno planiranje i kontrolu izvršavanja financijskog plana, a zbog teškog stanja u gospodarstvu nastavit će se mjere racionalizacije i štednje.</w:t>
      </w:r>
    </w:p>
    <w:p w:rsidR="009650A1" w:rsidRDefault="009650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</w:p>
    <w:p w:rsidR="009650A1" w:rsidRDefault="009650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A1" w:rsidRDefault="00B32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Ravnatelj</w:t>
      </w:r>
      <w:r>
        <w:rPr>
          <w:rFonts w:ascii="Times New Roman" w:eastAsia="Times New Roman" w:hAnsi="Times New Roman" w:cs="Times New Roman"/>
          <w:sz w:val="24"/>
          <w:szCs w:val="24"/>
        </w:rPr>
        <w:t>ica:</w:t>
      </w:r>
    </w:p>
    <w:p w:rsidR="009650A1" w:rsidRDefault="00B3271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Diana Radić Škara, prof.</w:t>
      </w:r>
    </w:p>
    <w:sectPr w:rsidR="0096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D1A"/>
    <w:multiLevelType w:val="multilevel"/>
    <w:tmpl w:val="CF10344C"/>
    <w:lvl w:ilvl="0">
      <w:start w:val="636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0402"/>
    <w:multiLevelType w:val="multilevel"/>
    <w:tmpl w:val="BC0A7276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2497"/>
    <w:multiLevelType w:val="multilevel"/>
    <w:tmpl w:val="ABE4EA42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31D7"/>
    <w:multiLevelType w:val="multilevel"/>
    <w:tmpl w:val="710C5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E3741"/>
    <w:multiLevelType w:val="multilevel"/>
    <w:tmpl w:val="6B4A85BC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14A7B"/>
    <w:multiLevelType w:val="multilevel"/>
    <w:tmpl w:val="040E0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85153"/>
    <w:multiLevelType w:val="multilevel"/>
    <w:tmpl w:val="B8FC5538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15A9E"/>
    <w:multiLevelType w:val="multilevel"/>
    <w:tmpl w:val="AD96E1AC"/>
    <w:lvl w:ilvl="0">
      <w:start w:val="4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A5E6C"/>
    <w:multiLevelType w:val="multilevel"/>
    <w:tmpl w:val="31EA3D22"/>
    <w:lvl w:ilvl="0">
      <w:start w:val="4"/>
      <w:numFmt w:val="decimal"/>
      <w:lvlText w:val="4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0127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807D67"/>
    <w:multiLevelType w:val="multilevel"/>
    <w:tmpl w:val="C6E61842"/>
    <w:lvl w:ilvl="0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61344"/>
    <w:multiLevelType w:val="multilevel"/>
    <w:tmpl w:val="0E923506"/>
    <w:lvl w:ilvl="0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4502"/>
    <w:multiLevelType w:val="multilevel"/>
    <w:tmpl w:val="7E2CD4C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443D3"/>
    <w:multiLevelType w:val="multilevel"/>
    <w:tmpl w:val="59801A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91B92"/>
    <w:multiLevelType w:val="multilevel"/>
    <w:tmpl w:val="55F4DB88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D248B"/>
    <w:multiLevelType w:val="multilevel"/>
    <w:tmpl w:val="7DA80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A130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2600F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A52DB2"/>
    <w:multiLevelType w:val="multilevel"/>
    <w:tmpl w:val="7836370C"/>
    <w:lvl w:ilvl="0">
      <w:start w:val="636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D79EE"/>
    <w:multiLevelType w:val="multilevel"/>
    <w:tmpl w:val="2580F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774DA"/>
    <w:multiLevelType w:val="multilevel"/>
    <w:tmpl w:val="86C46E86"/>
    <w:lvl w:ilvl="0">
      <w:start w:val="1"/>
      <w:numFmt w:val="decimal"/>
      <w:lvlText w:val="3.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4F9D7E05"/>
    <w:multiLevelType w:val="multilevel"/>
    <w:tmpl w:val="6DFE23A0"/>
    <w:lvl w:ilvl="0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029D"/>
    <w:multiLevelType w:val="multilevel"/>
    <w:tmpl w:val="29C86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03103"/>
    <w:multiLevelType w:val="multilevel"/>
    <w:tmpl w:val="09321988"/>
    <w:lvl w:ilvl="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B59B5"/>
    <w:multiLevelType w:val="multilevel"/>
    <w:tmpl w:val="B9E8B1DA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615EA"/>
    <w:multiLevelType w:val="multilevel"/>
    <w:tmpl w:val="78C6DEF4"/>
    <w:lvl w:ilvl="0">
      <w:start w:val="4"/>
      <w:numFmt w:val="decimal"/>
      <w:lvlText w:val="4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73E7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269655B"/>
    <w:multiLevelType w:val="multilevel"/>
    <w:tmpl w:val="E3F61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6055FB8"/>
    <w:multiLevelType w:val="multilevel"/>
    <w:tmpl w:val="C0BC640A"/>
    <w:lvl w:ilvl="0">
      <w:start w:val="4"/>
      <w:numFmt w:val="decimal"/>
      <w:lvlText w:val="4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A1"/>
    <w:rsid w:val="009650A1"/>
    <w:rsid w:val="00B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4E1E"/>
  <w15:docId w15:val="{5526D700-D062-4E86-9B45-B0CCCF63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5">
    <w:name w:val="heading 5"/>
    <w:basedOn w:val="Normal"/>
    <w:link w:val="Naslov5Char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5Char">
    <w:name w:val="Naslov 5 Char"/>
    <w:basedOn w:val="Zadanifontodlomka"/>
    <w:link w:val="Naslov5"/>
    <w:uiPriority w:val="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htus@htus.ht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1279</Words>
  <Characters>7294</Characters>
  <Application>Microsoft Office Word</Application>
  <DocSecurity>0</DocSecurity>
  <Lines>60</Lines>
  <Paragraphs>17</Paragraphs>
  <ScaleCrop>false</ScaleCrop>
  <Company>HP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Racunovodja</dc:creator>
  <cp:keywords/>
  <dc:description/>
  <cp:lastModifiedBy>Racunovodja</cp:lastModifiedBy>
  <cp:revision>56</cp:revision>
  <dcterms:created xsi:type="dcterms:W3CDTF">2024-04-23T08:21:00Z</dcterms:created>
  <dcterms:modified xsi:type="dcterms:W3CDTF">2025-06-09T09:40:00Z</dcterms:modified>
</cp:coreProperties>
</file>