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E3BF0">
        <w:trPr>
          <w:trHeight w:val="2828"/>
        </w:trPr>
        <w:tc>
          <w:tcPr>
            <w:tcW w:w="6379" w:type="dxa"/>
          </w:tcPr>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5C19CA" w:rsidRPr="00A64D9A" w:rsidTr="005C19CA">
              <w:trPr>
                <w:trHeight w:val="2828"/>
              </w:trPr>
              <w:tc>
                <w:tcPr>
                  <w:tcW w:w="4573" w:type="dxa"/>
                </w:tcPr>
                <w:p w:rsidR="005C19CA" w:rsidRPr="005C19CA" w:rsidRDefault="005C19CA" w:rsidP="005C19CA">
                  <w:pPr>
                    <w:widowControl w:val="0"/>
                    <w:autoSpaceDE w:val="0"/>
                    <w:autoSpaceDN w:val="0"/>
                    <w:adjustRightInd w:val="0"/>
                    <w:rPr>
                      <w:rFonts w:ascii="Times New Roman" w:hAnsi="Times New Roman" w:cs="Times New Roman"/>
                      <w:b/>
                      <w:sz w:val="24"/>
                      <w:szCs w:val="24"/>
                    </w:rPr>
                  </w:pPr>
                  <w:bookmarkStart w:id="0" w:name="_Hlk128748807"/>
                  <w:r w:rsidRPr="005C19CA">
                    <w:rPr>
                      <w:rFonts w:ascii="Times New Roman" w:hAnsi="Times New Roman" w:cs="Times New Roman"/>
                      <w:b/>
                      <w:sz w:val="24"/>
                      <w:szCs w:val="24"/>
                    </w:rPr>
                    <w:t>HOTELIJERSKO-TURISTIČKA I</w:t>
                  </w:r>
                </w:p>
                <w:p w:rsidR="005C19CA" w:rsidRPr="005C19CA" w:rsidRDefault="005C19CA" w:rsidP="005C19CA">
                  <w:pPr>
                    <w:widowControl w:val="0"/>
                    <w:autoSpaceDE w:val="0"/>
                    <w:autoSpaceDN w:val="0"/>
                    <w:adjustRightInd w:val="0"/>
                    <w:rPr>
                      <w:rFonts w:ascii="Times New Roman" w:hAnsi="Times New Roman" w:cs="Times New Roman"/>
                      <w:b/>
                      <w:sz w:val="24"/>
                      <w:szCs w:val="24"/>
                    </w:rPr>
                  </w:pPr>
                  <w:r w:rsidRPr="005C19CA">
                    <w:rPr>
                      <w:rFonts w:ascii="Times New Roman" w:hAnsi="Times New Roman" w:cs="Times New Roman"/>
                      <w:b/>
                      <w:sz w:val="24"/>
                      <w:szCs w:val="24"/>
                    </w:rPr>
                    <w:t xml:space="preserve">UGOSTITELJSKA ŠKOLA - </w:t>
                  </w:r>
                  <w:r>
                    <w:rPr>
                      <w:rFonts w:ascii="Times New Roman" w:hAnsi="Times New Roman" w:cs="Times New Roman"/>
                      <w:b/>
                      <w:sz w:val="24"/>
                      <w:szCs w:val="24"/>
                    </w:rPr>
                    <w:t>Z</w:t>
                  </w:r>
                  <w:r w:rsidRPr="005C19CA">
                    <w:rPr>
                      <w:rFonts w:ascii="Times New Roman" w:hAnsi="Times New Roman" w:cs="Times New Roman"/>
                      <w:b/>
                      <w:sz w:val="24"/>
                      <w:szCs w:val="24"/>
                    </w:rPr>
                    <w:t>ADAR</w:t>
                  </w:r>
                </w:p>
                <w:p w:rsidR="005C19CA" w:rsidRDefault="005C19CA" w:rsidP="005C19CA">
                  <w:pPr>
                    <w:widowControl w:val="0"/>
                    <w:autoSpaceDE w:val="0"/>
                    <w:autoSpaceDN w:val="0"/>
                    <w:adjustRightInd w:val="0"/>
                    <w:spacing w:line="240" w:lineRule="atLeast"/>
                    <w:ind w:left="11" w:hanging="11"/>
                    <w:rPr>
                      <w:rFonts w:ascii="Times New Roman" w:hAnsi="Times New Roman" w:cs="Times New Roman"/>
                      <w:sz w:val="24"/>
                      <w:szCs w:val="24"/>
                    </w:rPr>
                  </w:pPr>
                  <w:r w:rsidRPr="005C19CA">
                    <w:rPr>
                      <w:rFonts w:ascii="Times New Roman" w:hAnsi="Times New Roman" w:cs="Times New Roman"/>
                      <w:sz w:val="24"/>
                      <w:szCs w:val="24"/>
                    </w:rPr>
                    <w:t>Antuna Gustava Matoša 40, 23000 Zadar</w:t>
                  </w:r>
                </w:p>
                <w:p w:rsidR="005C19CA" w:rsidRDefault="005C19CA" w:rsidP="005C19CA">
                  <w:pPr>
                    <w:widowControl w:val="0"/>
                    <w:autoSpaceDE w:val="0"/>
                    <w:autoSpaceDN w:val="0"/>
                    <w:adjustRightInd w:val="0"/>
                    <w:spacing w:line="240" w:lineRule="atLeast"/>
                    <w:ind w:left="11" w:hanging="11"/>
                    <w:rPr>
                      <w:rFonts w:ascii="Times New Roman" w:hAnsi="Times New Roman" w:cs="Times New Roman"/>
                      <w:sz w:val="24"/>
                      <w:szCs w:val="24"/>
                    </w:rPr>
                  </w:pPr>
                  <w:r>
                    <w:rPr>
                      <w:rFonts w:ascii="Times New Roman" w:hAnsi="Times New Roman" w:cs="Times New Roman"/>
                      <w:sz w:val="24"/>
                      <w:szCs w:val="24"/>
                    </w:rPr>
                    <w:t xml:space="preserve">RKP: 19773 // MB:00390160 </w:t>
                  </w:r>
                </w:p>
                <w:p w:rsidR="005C19CA" w:rsidRDefault="005C19CA" w:rsidP="005C19CA">
                  <w:pPr>
                    <w:widowControl w:val="0"/>
                    <w:autoSpaceDE w:val="0"/>
                    <w:autoSpaceDN w:val="0"/>
                    <w:adjustRightInd w:val="0"/>
                    <w:spacing w:line="240" w:lineRule="atLeast"/>
                    <w:ind w:left="11" w:hanging="11"/>
                    <w:rPr>
                      <w:rFonts w:ascii="Times New Roman" w:hAnsi="Times New Roman" w:cs="Times New Roman"/>
                      <w:sz w:val="24"/>
                      <w:szCs w:val="24"/>
                    </w:rPr>
                  </w:pPr>
                  <w:r>
                    <w:rPr>
                      <w:rFonts w:ascii="Times New Roman" w:hAnsi="Times New Roman" w:cs="Times New Roman"/>
                      <w:sz w:val="24"/>
                      <w:szCs w:val="24"/>
                    </w:rPr>
                    <w:t>OIB: 91757782000</w:t>
                  </w:r>
                </w:p>
                <w:p w:rsidR="005C19CA" w:rsidRPr="005C19CA" w:rsidRDefault="005C19CA" w:rsidP="005C19CA">
                  <w:pPr>
                    <w:widowControl w:val="0"/>
                    <w:autoSpaceDE w:val="0"/>
                    <w:autoSpaceDN w:val="0"/>
                    <w:adjustRightInd w:val="0"/>
                    <w:rPr>
                      <w:rFonts w:ascii="Times New Roman" w:hAnsi="Times New Roman" w:cs="Times New Roman"/>
                      <w:sz w:val="24"/>
                      <w:szCs w:val="24"/>
                    </w:rPr>
                  </w:pPr>
                  <w:r w:rsidRPr="005C19CA">
                    <w:rPr>
                      <w:rFonts w:ascii="Times New Roman" w:hAnsi="Times New Roman" w:cs="Times New Roman"/>
                      <w:sz w:val="24"/>
                      <w:szCs w:val="24"/>
                    </w:rPr>
                    <w:t xml:space="preserve">Tel: 023 335 295 E-mail: </w:t>
                  </w:r>
                  <w:hyperlink r:id="rId6" w:history="1">
                    <w:r w:rsidRPr="005C19CA">
                      <w:rPr>
                        <w:rStyle w:val="Hiperveza"/>
                        <w:rFonts w:ascii="Times New Roman" w:hAnsi="Times New Roman" w:cs="Times New Roman"/>
                        <w:sz w:val="24"/>
                        <w:szCs w:val="24"/>
                      </w:rPr>
                      <w:t>htus@htus.htnet.hr</w:t>
                    </w:r>
                  </w:hyperlink>
                </w:p>
                <w:p w:rsidR="005C19CA" w:rsidRDefault="005C19CA" w:rsidP="005C19CA">
                  <w:pPr>
                    <w:spacing w:after="160" w:line="259" w:lineRule="auto"/>
                    <w:rPr>
                      <w:rFonts w:ascii="Times New Roman" w:hAnsi="Times New Roman" w:cs="Times New Roman"/>
                    </w:rPr>
                  </w:pPr>
                  <w:r w:rsidRPr="00A64D9A">
                    <w:rPr>
                      <w:rFonts w:ascii="Times New Roman" w:hAnsi="Times New Roman" w:cs="Times New Roman"/>
                    </w:rPr>
                    <w:t xml:space="preserve">KLASA:       </w:t>
                  </w:r>
                  <w:r w:rsidRPr="00A64D9A">
                    <w:rPr>
                      <w:rFonts w:ascii="Times New Roman" w:hAnsi="Times New Roman" w:cs="Times New Roman"/>
                      <w:lang w:val="en-US"/>
                    </w:rPr>
                    <w:fldChar w:fldCharType="begin"/>
                  </w:r>
                  <w:r w:rsidRPr="00A64D9A">
                    <w:rPr>
                      <w:rFonts w:ascii="Times New Roman" w:hAnsi="Times New Roman" w:cs="Times New Roman"/>
                      <w:lang w:val="en-US"/>
                    </w:rPr>
                    <w:instrText xml:space="preserve"> MERGEFIELD  CasesClassificationCode  \* MERGEFORMAT </w:instrText>
                  </w:r>
                  <w:r w:rsidRPr="00A64D9A">
                    <w:rPr>
                      <w:rFonts w:ascii="Times New Roman" w:hAnsi="Times New Roman" w:cs="Times New Roman"/>
                      <w:lang w:val="en-US"/>
                    </w:rPr>
                    <w:fldChar w:fldCharType="separate"/>
                  </w:r>
                  <w:r w:rsidRPr="00A64D9A">
                    <w:rPr>
                      <w:rFonts w:ascii="Times New Roman" w:hAnsi="Times New Roman" w:cs="Times New Roman"/>
                      <w:noProof/>
                      <w:lang w:val="en-US"/>
                    </w:rPr>
                    <w:t>«CasesClassificationCode»</w:t>
                  </w:r>
                  <w:r w:rsidRPr="00A64D9A">
                    <w:rPr>
                      <w:rFonts w:ascii="Times New Roman" w:hAnsi="Times New Roman" w:cs="Times New Roman"/>
                      <w:lang w:val="en-US"/>
                    </w:rPr>
                    <w:fldChar w:fldCharType="end"/>
                  </w:r>
                  <w:r w:rsidRPr="00A64D9A">
                    <w:rPr>
                      <w:rFonts w:ascii="Times New Roman" w:hAnsi="Times New Roman" w:cs="Times New Roman"/>
                    </w:rPr>
                    <w:t xml:space="preserve">                                                                                                                                        URBROJ:     </w:t>
                  </w:r>
                  <w:r w:rsidRPr="00A64D9A">
                    <w:rPr>
                      <w:rFonts w:ascii="Times New Roman" w:hAnsi="Times New Roman" w:cs="Times New Roman"/>
                    </w:rPr>
                    <w:fldChar w:fldCharType="begin"/>
                  </w:r>
                  <w:r w:rsidRPr="00A64D9A">
                    <w:rPr>
                      <w:rFonts w:ascii="Times New Roman" w:hAnsi="Times New Roman" w:cs="Times New Roman"/>
                    </w:rPr>
                    <w:instrText xml:space="preserve"> MERGEFIELD  RegistrationNumber  \* MERGEFORMAT </w:instrText>
                  </w:r>
                  <w:r w:rsidRPr="00A64D9A">
                    <w:rPr>
                      <w:rFonts w:ascii="Times New Roman" w:hAnsi="Times New Roman" w:cs="Times New Roman"/>
                    </w:rPr>
                    <w:fldChar w:fldCharType="separate"/>
                  </w:r>
                  <w:r w:rsidRPr="00A64D9A">
                    <w:rPr>
                      <w:rFonts w:ascii="Times New Roman" w:hAnsi="Times New Roman" w:cs="Times New Roman"/>
                      <w:noProof/>
                    </w:rPr>
                    <w:t>«RegistrationNumber»</w:t>
                  </w:r>
                  <w:r w:rsidRPr="00A64D9A">
                    <w:rPr>
                      <w:rFonts w:ascii="Times New Roman" w:hAnsi="Times New Roman" w:cs="Times New Roman"/>
                    </w:rPr>
                    <w:fldChar w:fldCharType="end"/>
                  </w:r>
                  <w:r w:rsidRPr="00A64D9A">
                    <w:rPr>
                      <w:rFonts w:ascii="Times New Roman" w:hAnsi="Times New Roman" w:cs="Times New Roman"/>
                    </w:rPr>
                    <w:t xml:space="preserve">             </w:t>
                  </w:r>
                </w:p>
                <w:p w:rsidR="005C19CA" w:rsidRPr="00A64D9A" w:rsidRDefault="00CE6B9D" w:rsidP="005C19CA">
                  <w:pPr>
                    <w:spacing w:after="160" w:line="259" w:lineRule="auto"/>
                    <w:rPr>
                      <w:rFonts w:ascii="Times New Roman" w:hAnsi="Times New Roman" w:cs="Times New Roman"/>
                    </w:rPr>
                  </w:pPr>
                  <w:r>
                    <w:rPr>
                      <w:rFonts w:ascii="Times New Roman" w:hAnsi="Times New Roman" w:cs="Times New Roman"/>
                      <w:sz w:val="24"/>
                      <w:szCs w:val="24"/>
                    </w:rPr>
                    <w:t>Zadar, 29</w:t>
                  </w:r>
                  <w:r w:rsidR="005C19CA" w:rsidRPr="005C19CA">
                    <w:rPr>
                      <w:rFonts w:ascii="Times New Roman" w:hAnsi="Times New Roman" w:cs="Times New Roman"/>
                      <w:sz w:val="24"/>
                      <w:szCs w:val="24"/>
                    </w:rPr>
                    <w:t>. listopada 2025. godine</w:t>
                  </w:r>
                  <w:r w:rsidR="005C19CA">
                    <w:rPr>
                      <w:rFonts w:ascii="Times New Roman" w:hAnsi="Times New Roman" w:cs="Times New Roman"/>
                      <w:sz w:val="24"/>
                      <w:szCs w:val="24"/>
                    </w:rPr>
                    <w:t xml:space="preserve">                                                                                              </w:t>
                  </w:r>
                </w:p>
              </w:tc>
            </w:tr>
          </w:tbl>
          <w:p w:rsidR="007E3BF0" w:rsidRDefault="007E3BF0">
            <w:pPr>
              <w:spacing w:after="160" w:line="259" w:lineRule="auto"/>
              <w:rPr>
                <w:rFonts w:ascii="Times New Roman" w:hAnsi="Times New Roman" w:cs="Times New Roman"/>
              </w:rPr>
            </w:pPr>
          </w:p>
        </w:tc>
        <w:tc>
          <w:tcPr>
            <w:tcW w:w="2693" w:type="dxa"/>
          </w:tcPr>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tblGrid>
            <w:tr w:rsidR="005C19CA" w:rsidRPr="00A64D9A" w:rsidTr="00B03857">
              <w:trPr>
                <w:trHeight w:val="2828"/>
              </w:trPr>
              <w:tc>
                <w:tcPr>
                  <w:tcW w:w="2693" w:type="dxa"/>
                </w:tcPr>
                <w:p w:rsidR="005C19CA" w:rsidRPr="00A64D9A" w:rsidRDefault="005C19CA" w:rsidP="005C19CA">
                  <w:pPr>
                    <w:spacing w:after="160" w:line="259" w:lineRule="auto"/>
                    <w:jc w:val="right"/>
                    <w:rPr>
                      <w:rFonts w:ascii="Times New Roman" w:hAnsi="Times New Roman" w:cs="Times New Roman"/>
                    </w:rPr>
                  </w:pPr>
                  <w:r w:rsidRPr="00A64D9A">
                    <w:rPr>
                      <w:rFonts w:ascii="Times New Roman" w:hAnsi="Times New Roman" w:cs="Times New Roman"/>
                      <w:lang w:val="en-US"/>
                    </w:rPr>
                    <w:fldChar w:fldCharType="begin"/>
                  </w:r>
                  <w:r w:rsidRPr="00A64D9A">
                    <w:rPr>
                      <w:rFonts w:ascii="Times New Roman" w:hAnsi="Times New Roman" w:cs="Times New Roman"/>
                      <w:lang w:val="en-US"/>
                    </w:rPr>
                    <w:instrText xml:space="preserve"> MERGEFIELD  Image:QRcode  \* MERGEFORMAT </w:instrText>
                  </w:r>
                  <w:r w:rsidRPr="00A64D9A">
                    <w:rPr>
                      <w:rFonts w:ascii="Times New Roman" w:hAnsi="Times New Roman" w:cs="Times New Roman"/>
                      <w:lang w:val="en-US"/>
                    </w:rPr>
                    <w:fldChar w:fldCharType="separate"/>
                  </w:r>
                  <w:r w:rsidRPr="00A64D9A">
                    <w:rPr>
                      <w:rFonts w:ascii="Times New Roman" w:hAnsi="Times New Roman" w:cs="Times New Roman"/>
                      <w:noProof/>
                      <w:lang w:val="en-US"/>
                    </w:rPr>
                    <w:t>«Image:QRcode»</w:t>
                  </w:r>
                  <w:r w:rsidRPr="00A64D9A">
                    <w:rPr>
                      <w:rFonts w:ascii="Times New Roman" w:hAnsi="Times New Roman" w:cs="Times New Roman"/>
                      <w:lang w:val="en-US"/>
                    </w:rPr>
                    <w:fldChar w:fldCharType="end"/>
                  </w:r>
                </w:p>
              </w:tc>
            </w:tr>
          </w:tbl>
          <w:p w:rsidR="007E3BF0" w:rsidRDefault="007E3BF0">
            <w:pPr>
              <w:spacing w:after="160" w:line="259" w:lineRule="auto"/>
              <w:jc w:val="right"/>
              <w:rPr>
                <w:rFonts w:ascii="Times New Roman" w:hAnsi="Times New Roman" w:cs="Times New Roman"/>
              </w:rPr>
            </w:pPr>
          </w:p>
        </w:tc>
      </w:tr>
      <w:bookmarkEnd w:id="0"/>
    </w:tbl>
    <w:p w:rsidR="007E3BF0" w:rsidRDefault="007E3BF0">
      <w:pPr>
        <w:spacing w:line="240" w:lineRule="auto"/>
        <w:jc w:val="both"/>
        <w:rPr>
          <w:rFonts w:ascii="Times New Roman" w:hAnsi="Times New Roman" w:cs="Times New Roman"/>
          <w:sz w:val="24"/>
          <w:szCs w:val="24"/>
        </w:rPr>
      </w:pPr>
    </w:p>
    <w:p w:rsidR="007E3BF0" w:rsidRDefault="001567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OBRAZLOŽENJE PRIJEDLOGA FINANCIJSKOG PLANA </w:t>
      </w:r>
    </w:p>
    <w:p w:rsidR="007E3BF0" w:rsidRDefault="001567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HOTELIJERSKO – TURISTIČ</w:t>
      </w:r>
      <w:r w:rsidR="00A1387A">
        <w:rPr>
          <w:rFonts w:ascii="Times New Roman" w:hAnsi="Times New Roman" w:cs="Times New Roman"/>
          <w:b/>
          <w:sz w:val="24"/>
          <w:szCs w:val="24"/>
        </w:rPr>
        <w:t>KE I UGOSTITELJSKE ŠKOLE ZA 2026. I PROJEKCIJA PLANA ZA 2027. I 2028</w:t>
      </w:r>
      <w:r>
        <w:rPr>
          <w:rFonts w:ascii="Times New Roman" w:hAnsi="Times New Roman" w:cs="Times New Roman"/>
          <w:b/>
          <w:sz w:val="24"/>
          <w:szCs w:val="24"/>
        </w:rPr>
        <w:t>. GODINU</w:t>
      </w:r>
    </w:p>
    <w:p w:rsidR="007E3BF0" w:rsidRDefault="007E3BF0">
      <w:pPr>
        <w:spacing w:after="0" w:line="240" w:lineRule="auto"/>
        <w:jc w:val="center"/>
        <w:rPr>
          <w:rFonts w:ascii="Times New Roman" w:hAnsi="Times New Roman" w:cs="Times New Roman"/>
          <w:b/>
          <w:sz w:val="24"/>
          <w:szCs w:val="24"/>
        </w:rPr>
      </w:pPr>
    </w:p>
    <w:p w:rsidR="007E3BF0" w:rsidRDefault="007E3BF0">
      <w:pPr>
        <w:spacing w:after="0" w:line="240" w:lineRule="auto"/>
        <w:jc w:val="center"/>
        <w:rPr>
          <w:rFonts w:ascii="Times New Roman" w:hAnsi="Times New Roman" w:cs="Times New Roman"/>
          <w:b/>
          <w:sz w:val="24"/>
          <w:szCs w:val="24"/>
        </w:rPr>
      </w:pPr>
    </w:p>
    <w:p w:rsidR="007E3BF0" w:rsidRPr="00EB6EF4" w:rsidRDefault="0015672D" w:rsidP="00EB6EF4">
      <w:pPr>
        <w:pStyle w:val="Odlomakpopisa"/>
        <w:numPr>
          <w:ilvl w:val="0"/>
          <w:numId w:val="16"/>
        </w:numPr>
        <w:spacing w:after="0" w:line="240" w:lineRule="auto"/>
        <w:rPr>
          <w:rFonts w:ascii="Times New Roman" w:hAnsi="Times New Roman" w:cs="Times New Roman"/>
          <w:b/>
          <w:sz w:val="24"/>
          <w:szCs w:val="24"/>
        </w:rPr>
      </w:pPr>
      <w:r w:rsidRPr="00EB6EF4">
        <w:rPr>
          <w:rFonts w:ascii="Times New Roman" w:hAnsi="Times New Roman" w:cs="Times New Roman"/>
          <w:b/>
          <w:sz w:val="24"/>
          <w:szCs w:val="24"/>
        </w:rPr>
        <w:t>SAŽETAK DJELOKRUGA RADA PRORAČUNSKOG KORISNIKA</w:t>
      </w:r>
    </w:p>
    <w:p w:rsidR="007E3BF0" w:rsidRDefault="007E3BF0">
      <w:pPr>
        <w:pStyle w:val="Odlomakpopisa"/>
        <w:spacing w:after="0" w:line="240" w:lineRule="auto"/>
        <w:rPr>
          <w:rFonts w:ascii="Times New Roman" w:hAnsi="Times New Roman" w:cs="Times New Roman"/>
          <w:b/>
          <w:sz w:val="24"/>
          <w:szCs w:val="24"/>
        </w:rPr>
      </w:pPr>
    </w:p>
    <w:p w:rsidR="007E3BF0" w:rsidRDefault="0015672D" w:rsidP="007B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Hotelijersko – turistička i ugostiteljska škola Zadar je javna ustanova srednjeg odgoja i obrazovanja. Osnivač je Zadarska županija (Rješenje Ministarstva prosvjete i športa, </w:t>
      </w:r>
      <w:r w:rsidR="00375597">
        <w:rPr>
          <w:rFonts w:ascii="Times New Roman" w:hAnsi="Times New Roman" w:cs="Times New Roman"/>
          <w:sz w:val="24"/>
          <w:szCs w:val="24"/>
        </w:rPr>
        <w:t>KLASA</w:t>
      </w:r>
      <w:r>
        <w:rPr>
          <w:rFonts w:ascii="Times New Roman" w:hAnsi="Times New Roman" w:cs="Times New Roman"/>
          <w:sz w:val="24"/>
          <w:szCs w:val="24"/>
        </w:rPr>
        <w:t xml:space="preserve">: 602-03/92-01-769, </w:t>
      </w:r>
      <w:r w:rsidR="00375597">
        <w:rPr>
          <w:rFonts w:ascii="Times New Roman" w:hAnsi="Times New Roman" w:cs="Times New Roman"/>
          <w:sz w:val="24"/>
          <w:szCs w:val="24"/>
        </w:rPr>
        <w:t>URBROJ</w:t>
      </w:r>
      <w:r>
        <w:rPr>
          <w:rFonts w:ascii="Times New Roman" w:hAnsi="Times New Roman" w:cs="Times New Roman"/>
          <w:sz w:val="24"/>
          <w:szCs w:val="24"/>
        </w:rPr>
        <w:t>: 532-02-6/3-93-01, od 8. veljače 1993. godine).</w:t>
      </w:r>
    </w:p>
    <w:p w:rsidR="007E3BF0" w:rsidRDefault="0015672D" w:rsidP="007B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djeluje u zgradi izgrađenoj 1972. godine, smještenoj izvan grada pa većina učenika putuje javnim gradskim ili međugradskim prijevozom. Prostor dijeli s Ekonomskom – birotehničkom i trgovačko</w:t>
      </w:r>
      <w:r w:rsidR="00824A1D">
        <w:rPr>
          <w:rFonts w:ascii="Times New Roman" w:hAnsi="Times New Roman" w:cs="Times New Roman"/>
          <w:sz w:val="24"/>
          <w:szCs w:val="24"/>
        </w:rPr>
        <w:t>m školom Zadar te raspolaže s 14 specijaliziranih učionica, 4</w:t>
      </w:r>
      <w:r>
        <w:rPr>
          <w:rFonts w:ascii="Times New Roman" w:hAnsi="Times New Roman" w:cs="Times New Roman"/>
          <w:sz w:val="24"/>
          <w:szCs w:val="24"/>
        </w:rPr>
        <w:t xml:space="preserve"> praktikuma s garderobama, 9 kabineta, dvoranom za </w:t>
      </w:r>
      <w:r w:rsidR="00824A1D">
        <w:rPr>
          <w:rFonts w:ascii="Times New Roman" w:hAnsi="Times New Roman" w:cs="Times New Roman"/>
          <w:sz w:val="24"/>
          <w:szCs w:val="24"/>
        </w:rPr>
        <w:t>tjelesnu i zdravstvenu kulturu (mala i velika dvorana)</w:t>
      </w:r>
      <w:r>
        <w:rPr>
          <w:rFonts w:ascii="Times New Roman" w:hAnsi="Times New Roman" w:cs="Times New Roman"/>
          <w:sz w:val="24"/>
          <w:szCs w:val="24"/>
        </w:rPr>
        <w:t>, vanjskim igralištem i knjižnicom.</w:t>
      </w:r>
    </w:p>
    <w:p w:rsidR="007E3BF0" w:rsidRDefault="00824A1D" w:rsidP="007B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Školu pohađa 563</w:t>
      </w:r>
      <w:r w:rsidR="0015672D">
        <w:rPr>
          <w:rFonts w:ascii="Times New Roman" w:hAnsi="Times New Roman" w:cs="Times New Roman"/>
          <w:sz w:val="24"/>
          <w:szCs w:val="24"/>
        </w:rPr>
        <w:t xml:space="preserve"> učenika raspoređen u 32 razredna odjela, a nastava se odvija u dvije smjene. Ukupan broj zaposlenih čini </w:t>
      </w:r>
      <w:r>
        <w:rPr>
          <w:rFonts w:ascii="Times New Roman" w:hAnsi="Times New Roman" w:cs="Times New Roman"/>
          <w:sz w:val="24"/>
          <w:szCs w:val="24"/>
        </w:rPr>
        <w:t>68</w:t>
      </w:r>
      <w:r w:rsidR="0015672D">
        <w:rPr>
          <w:rFonts w:ascii="Times New Roman" w:hAnsi="Times New Roman" w:cs="Times New Roman"/>
          <w:sz w:val="24"/>
          <w:szCs w:val="24"/>
        </w:rPr>
        <w:t xml:space="preserve"> djelatnika; od toga: 1 ravnatelj, 1 tajnica, 1 voditelj računovodstva, 1 administrator, 4 stručna suradnika (pedagog, psiholog, 2 knjižničarke), 5 </w:t>
      </w:r>
      <w:r>
        <w:rPr>
          <w:rFonts w:ascii="Times New Roman" w:hAnsi="Times New Roman" w:cs="Times New Roman"/>
          <w:sz w:val="24"/>
          <w:szCs w:val="24"/>
        </w:rPr>
        <w:t>pomoćno - tehnička osoblja te 55</w:t>
      </w:r>
      <w:r w:rsidR="0015672D">
        <w:rPr>
          <w:rFonts w:ascii="Times New Roman" w:hAnsi="Times New Roman" w:cs="Times New Roman"/>
          <w:sz w:val="24"/>
          <w:szCs w:val="24"/>
        </w:rPr>
        <w:t xml:space="preserve"> nastavnika.</w:t>
      </w:r>
    </w:p>
    <w:p w:rsidR="007E3BF0" w:rsidRDefault="007E3BF0" w:rsidP="007B0D1D">
      <w:pPr>
        <w:spacing w:after="0" w:line="240" w:lineRule="auto"/>
        <w:jc w:val="both"/>
        <w:rPr>
          <w:rFonts w:ascii="Times New Roman" w:hAnsi="Times New Roman" w:cs="Times New Roman"/>
          <w:sz w:val="24"/>
          <w:szCs w:val="24"/>
        </w:rPr>
      </w:pPr>
    </w:p>
    <w:p w:rsidR="007E3BF0" w:rsidRDefault="0015672D" w:rsidP="007B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obrazuje učenike za zanimanja: kuhar, konobar, slastičar, turističko – hotelijerski komercijalist, hotelijersko – turistički tehničar, pomoćni kuhar i slastičar (učenici s teškoćama u razvoju), pomoćni konobar (učenici s teškoćama u razvoju).</w:t>
      </w:r>
    </w:p>
    <w:p w:rsidR="007E3BF0" w:rsidRDefault="007E3BF0" w:rsidP="007B0D1D">
      <w:pPr>
        <w:spacing w:after="0" w:line="240" w:lineRule="auto"/>
        <w:jc w:val="both"/>
        <w:rPr>
          <w:rFonts w:ascii="Times New Roman" w:hAnsi="Times New Roman" w:cs="Times New Roman"/>
          <w:sz w:val="24"/>
          <w:szCs w:val="24"/>
        </w:rPr>
      </w:pPr>
    </w:p>
    <w:p w:rsidR="00A1387A" w:rsidRDefault="00A1387A" w:rsidP="007B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Financijski plan Hotelijersko – turističke i ugostiteljske škole Zadar sastoj</w:t>
      </w:r>
      <w:r w:rsidR="001F6A14">
        <w:rPr>
          <w:rFonts w:ascii="Times New Roman" w:hAnsi="Times New Roman" w:cs="Times New Roman"/>
          <w:sz w:val="24"/>
          <w:szCs w:val="24"/>
        </w:rPr>
        <w:t>i se od općeg i posebnog dijela te obrazloženja financijskog plana.</w:t>
      </w:r>
    </w:p>
    <w:p w:rsidR="00A1387A" w:rsidRDefault="00A1387A">
      <w:pPr>
        <w:spacing w:after="0" w:line="240" w:lineRule="auto"/>
        <w:jc w:val="both"/>
        <w:rPr>
          <w:rFonts w:ascii="Times New Roman" w:hAnsi="Times New Roman" w:cs="Times New Roman"/>
          <w:sz w:val="24"/>
          <w:szCs w:val="24"/>
        </w:rPr>
      </w:pPr>
    </w:p>
    <w:p w:rsidR="00A1387A" w:rsidRPr="00EB6EF4" w:rsidRDefault="00A1387A" w:rsidP="00EB6EF4">
      <w:pPr>
        <w:pStyle w:val="Odlomakpopisa"/>
        <w:numPr>
          <w:ilvl w:val="0"/>
          <w:numId w:val="16"/>
        </w:numPr>
        <w:spacing w:after="0" w:line="240" w:lineRule="auto"/>
        <w:jc w:val="both"/>
        <w:rPr>
          <w:rFonts w:ascii="Times New Roman" w:hAnsi="Times New Roman" w:cs="Times New Roman"/>
          <w:b/>
          <w:sz w:val="24"/>
          <w:szCs w:val="24"/>
        </w:rPr>
      </w:pPr>
      <w:r w:rsidRPr="00EB6EF4">
        <w:rPr>
          <w:rFonts w:ascii="Times New Roman" w:hAnsi="Times New Roman" w:cs="Times New Roman"/>
          <w:b/>
          <w:sz w:val="24"/>
          <w:szCs w:val="24"/>
        </w:rPr>
        <w:t>OPĆI DIO FINANCIJSKOG PLANA</w:t>
      </w:r>
    </w:p>
    <w:p w:rsidR="007E3BF0" w:rsidRDefault="007E3BF0" w:rsidP="00EB6EF4">
      <w:pPr>
        <w:spacing w:after="0" w:line="240" w:lineRule="auto"/>
        <w:jc w:val="both"/>
        <w:rPr>
          <w:rFonts w:ascii="Times New Roman" w:hAnsi="Times New Roman" w:cs="Times New Roman"/>
          <w:sz w:val="24"/>
          <w:szCs w:val="24"/>
        </w:rPr>
      </w:pPr>
    </w:p>
    <w:p w:rsidR="001F6A14" w:rsidRDefault="001F6A14" w:rsidP="001F6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 dio sastoji se od sažetka računa prihoda i rashoda, prihoda i rashoda iskazanih prema ekonomskoj klasifikaciji i prema izvorima financiranja i rashoda iskazanih prema funkcijskoj klasifikaciji </w:t>
      </w:r>
    </w:p>
    <w:p w:rsidR="001F6A14" w:rsidRDefault="001F6A14" w:rsidP="00EB6EF4">
      <w:pPr>
        <w:spacing w:after="0" w:line="240" w:lineRule="auto"/>
        <w:jc w:val="both"/>
        <w:rPr>
          <w:rFonts w:ascii="Times New Roman" w:hAnsi="Times New Roman" w:cs="Times New Roman"/>
          <w:sz w:val="24"/>
          <w:szCs w:val="24"/>
        </w:rPr>
      </w:pPr>
    </w:p>
    <w:p w:rsidR="00A1387A" w:rsidRDefault="00A1387A" w:rsidP="00A1387A">
      <w:pPr>
        <w:pStyle w:val="Odlomakpopisa"/>
        <w:numPr>
          <w:ilvl w:val="0"/>
          <w:numId w:val="5"/>
        </w:numPr>
        <w:spacing w:after="0" w:line="240" w:lineRule="auto"/>
        <w:jc w:val="both"/>
        <w:rPr>
          <w:rFonts w:ascii="Times New Roman" w:hAnsi="Times New Roman" w:cs="Times New Roman"/>
          <w:b/>
          <w:sz w:val="24"/>
          <w:szCs w:val="24"/>
        </w:rPr>
      </w:pPr>
      <w:r w:rsidRPr="00A1387A">
        <w:rPr>
          <w:rFonts w:ascii="Times New Roman" w:hAnsi="Times New Roman" w:cs="Times New Roman"/>
          <w:b/>
          <w:sz w:val="24"/>
          <w:szCs w:val="24"/>
        </w:rPr>
        <w:t>PRIHODI POSLOVANJA</w:t>
      </w:r>
    </w:p>
    <w:p w:rsidR="00A1387A" w:rsidRDefault="00A1387A" w:rsidP="00A1387A">
      <w:pPr>
        <w:spacing w:after="0" w:line="240" w:lineRule="auto"/>
        <w:jc w:val="both"/>
        <w:rPr>
          <w:rFonts w:ascii="Times New Roman" w:hAnsi="Times New Roman" w:cs="Times New Roman"/>
          <w:b/>
          <w:sz w:val="24"/>
          <w:szCs w:val="24"/>
        </w:rPr>
      </w:pPr>
    </w:p>
    <w:p w:rsidR="00A1387A" w:rsidRDefault="00B03A5E" w:rsidP="00A1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Ukupni prihodi</w:t>
      </w:r>
      <w:r w:rsidR="00A1387A">
        <w:rPr>
          <w:rFonts w:ascii="Times New Roman" w:hAnsi="Times New Roman" w:cs="Times New Roman"/>
          <w:sz w:val="24"/>
          <w:szCs w:val="24"/>
        </w:rPr>
        <w:t xml:space="preserve"> za 2026. godinu planirani su u iznosu od </w:t>
      </w:r>
      <w:r w:rsidR="00824A1D">
        <w:rPr>
          <w:rFonts w:ascii="Times New Roman" w:hAnsi="Times New Roman" w:cs="Times New Roman"/>
          <w:sz w:val="24"/>
          <w:szCs w:val="24"/>
        </w:rPr>
        <w:t xml:space="preserve">2.519.178,97 </w:t>
      </w:r>
      <w:r w:rsidR="00A1387A">
        <w:rPr>
          <w:rFonts w:ascii="Times New Roman" w:hAnsi="Times New Roman" w:cs="Times New Roman"/>
          <w:sz w:val="24"/>
          <w:szCs w:val="24"/>
        </w:rPr>
        <w:t xml:space="preserve">eura što je povećanje za </w:t>
      </w:r>
      <w:r w:rsidR="00824A1D">
        <w:rPr>
          <w:rFonts w:ascii="Times New Roman" w:hAnsi="Times New Roman" w:cs="Times New Roman"/>
          <w:sz w:val="24"/>
          <w:szCs w:val="24"/>
        </w:rPr>
        <w:t>5,58</w:t>
      </w:r>
      <w:r w:rsidR="00A1387A">
        <w:rPr>
          <w:rFonts w:ascii="Times New Roman" w:hAnsi="Times New Roman" w:cs="Times New Roman"/>
          <w:sz w:val="24"/>
          <w:szCs w:val="24"/>
        </w:rPr>
        <w:t xml:space="preserve"> % u odnosu na Plan za 2025. godinu.</w:t>
      </w:r>
    </w:p>
    <w:p w:rsidR="00A1387A" w:rsidRPr="00A1387A" w:rsidRDefault="00A1387A" w:rsidP="00A1387A">
      <w:pPr>
        <w:spacing w:after="0" w:line="240" w:lineRule="auto"/>
        <w:jc w:val="both"/>
        <w:rPr>
          <w:rFonts w:ascii="Times New Roman" w:hAnsi="Times New Roman" w:cs="Times New Roman"/>
          <w:sz w:val="24"/>
          <w:szCs w:val="24"/>
        </w:rPr>
      </w:pPr>
    </w:p>
    <w:tbl>
      <w:tblPr>
        <w:tblStyle w:val="Reetkatablice"/>
        <w:tblW w:w="9498" w:type="dxa"/>
        <w:tblInd w:w="-147" w:type="dxa"/>
        <w:tblLook w:val="04A0" w:firstRow="1" w:lastRow="0" w:firstColumn="1" w:lastColumn="0" w:noHBand="0" w:noVBand="1"/>
      </w:tblPr>
      <w:tblGrid>
        <w:gridCol w:w="3261"/>
        <w:gridCol w:w="2079"/>
        <w:gridCol w:w="2079"/>
        <w:gridCol w:w="2079"/>
      </w:tblGrid>
      <w:tr w:rsidR="00A1387A" w:rsidRPr="00BF552C" w:rsidTr="009A3107">
        <w:tc>
          <w:tcPr>
            <w:tcW w:w="3261" w:type="dxa"/>
            <w:shd w:val="clear" w:color="auto" w:fill="D9D9D9" w:themeFill="background1" w:themeFillShade="D9"/>
            <w:vAlign w:val="center"/>
          </w:tcPr>
          <w:p w:rsidR="00A1387A" w:rsidRPr="00BF552C" w:rsidRDefault="00A1387A">
            <w:pPr>
              <w:jc w:val="both"/>
              <w:rPr>
                <w:rFonts w:ascii="Times New Roman" w:hAnsi="Times New Roman" w:cs="Times New Roman"/>
              </w:rPr>
            </w:pPr>
            <w:r w:rsidRPr="00BF552C">
              <w:rPr>
                <w:rFonts w:ascii="Times New Roman" w:hAnsi="Times New Roman" w:cs="Times New Roman"/>
              </w:rPr>
              <w:lastRenderedPageBreak/>
              <w:t>Prihodi/ primici</w:t>
            </w:r>
          </w:p>
        </w:tc>
        <w:tc>
          <w:tcPr>
            <w:tcW w:w="2079" w:type="dxa"/>
            <w:shd w:val="clear" w:color="auto" w:fill="D9D9D9" w:themeFill="background1" w:themeFillShade="D9"/>
            <w:vAlign w:val="center"/>
          </w:tcPr>
          <w:p w:rsidR="00A1387A" w:rsidRPr="00BF552C" w:rsidRDefault="00A1387A" w:rsidP="009A3107">
            <w:pPr>
              <w:rPr>
                <w:rFonts w:ascii="Times New Roman" w:hAnsi="Times New Roman" w:cs="Times New Roman"/>
              </w:rPr>
            </w:pPr>
            <w:r w:rsidRPr="00BF552C">
              <w:rPr>
                <w:rFonts w:ascii="Times New Roman" w:hAnsi="Times New Roman" w:cs="Times New Roman"/>
              </w:rPr>
              <w:t>Plan za 2025. godinu</w:t>
            </w:r>
          </w:p>
        </w:tc>
        <w:tc>
          <w:tcPr>
            <w:tcW w:w="2079" w:type="dxa"/>
            <w:shd w:val="clear" w:color="auto" w:fill="D9D9D9" w:themeFill="background1" w:themeFillShade="D9"/>
            <w:vAlign w:val="center"/>
          </w:tcPr>
          <w:p w:rsidR="00A1387A" w:rsidRPr="00BF552C" w:rsidRDefault="00A1387A" w:rsidP="00E16E0F">
            <w:pPr>
              <w:rPr>
                <w:rFonts w:ascii="Times New Roman" w:hAnsi="Times New Roman" w:cs="Times New Roman"/>
              </w:rPr>
            </w:pPr>
            <w:r w:rsidRPr="00BF552C">
              <w:rPr>
                <w:rFonts w:ascii="Times New Roman" w:hAnsi="Times New Roman" w:cs="Times New Roman"/>
              </w:rPr>
              <w:t>Prijedlog plana za 2026. godinu</w:t>
            </w:r>
          </w:p>
        </w:tc>
        <w:tc>
          <w:tcPr>
            <w:tcW w:w="2079" w:type="dxa"/>
            <w:shd w:val="clear" w:color="auto" w:fill="D9D9D9" w:themeFill="background1" w:themeFillShade="D9"/>
            <w:vAlign w:val="center"/>
          </w:tcPr>
          <w:p w:rsidR="00A1387A" w:rsidRPr="00BF552C" w:rsidRDefault="00A1387A">
            <w:pPr>
              <w:jc w:val="both"/>
              <w:rPr>
                <w:rFonts w:ascii="Times New Roman" w:hAnsi="Times New Roman" w:cs="Times New Roman"/>
              </w:rPr>
            </w:pPr>
            <w:r w:rsidRPr="00BF552C">
              <w:rPr>
                <w:rFonts w:ascii="Times New Roman" w:hAnsi="Times New Roman" w:cs="Times New Roman"/>
              </w:rPr>
              <w:t>Indeks</w:t>
            </w:r>
          </w:p>
        </w:tc>
      </w:tr>
      <w:tr w:rsidR="00A1387A" w:rsidRPr="00BF552C" w:rsidTr="00032131">
        <w:tc>
          <w:tcPr>
            <w:tcW w:w="3261" w:type="dxa"/>
            <w:vAlign w:val="bottom"/>
          </w:tcPr>
          <w:p w:rsidR="00A1387A" w:rsidRPr="00BF552C" w:rsidRDefault="00B03A5E" w:rsidP="00B03A5E">
            <w:pPr>
              <w:jc w:val="both"/>
              <w:rPr>
                <w:rFonts w:ascii="Times New Roman" w:hAnsi="Times New Roman" w:cs="Times New Roman"/>
                <w:b/>
              </w:rPr>
            </w:pPr>
            <w:r>
              <w:rPr>
                <w:rFonts w:ascii="Times New Roman" w:hAnsi="Times New Roman" w:cs="Times New Roman"/>
                <w:b/>
              </w:rPr>
              <w:t>Prihodi ukupno</w:t>
            </w:r>
          </w:p>
        </w:tc>
        <w:tc>
          <w:tcPr>
            <w:tcW w:w="2079" w:type="dxa"/>
            <w:vAlign w:val="bottom"/>
          </w:tcPr>
          <w:p w:rsidR="00A1387A" w:rsidRPr="00BF552C" w:rsidRDefault="00824A1D" w:rsidP="00032131">
            <w:pPr>
              <w:jc w:val="right"/>
              <w:rPr>
                <w:rFonts w:ascii="Times New Roman" w:hAnsi="Times New Roman" w:cs="Times New Roman"/>
                <w:b/>
              </w:rPr>
            </w:pPr>
            <w:r w:rsidRPr="00BF552C">
              <w:rPr>
                <w:rFonts w:ascii="Times New Roman" w:hAnsi="Times New Roman" w:cs="Times New Roman"/>
                <w:b/>
              </w:rPr>
              <w:t>2.386.128,97</w:t>
            </w:r>
          </w:p>
        </w:tc>
        <w:tc>
          <w:tcPr>
            <w:tcW w:w="2079" w:type="dxa"/>
            <w:vAlign w:val="bottom"/>
          </w:tcPr>
          <w:p w:rsidR="00A1387A" w:rsidRPr="00BF552C" w:rsidRDefault="00824A1D" w:rsidP="00032131">
            <w:pPr>
              <w:jc w:val="right"/>
              <w:rPr>
                <w:rFonts w:ascii="Times New Roman" w:hAnsi="Times New Roman" w:cs="Times New Roman"/>
                <w:b/>
              </w:rPr>
            </w:pPr>
            <w:r w:rsidRPr="00BF552C">
              <w:rPr>
                <w:rFonts w:ascii="Times New Roman" w:hAnsi="Times New Roman" w:cs="Times New Roman"/>
                <w:b/>
              </w:rPr>
              <w:t>2.519.178,97</w:t>
            </w:r>
          </w:p>
        </w:tc>
        <w:tc>
          <w:tcPr>
            <w:tcW w:w="2079" w:type="dxa"/>
            <w:vAlign w:val="bottom"/>
          </w:tcPr>
          <w:p w:rsidR="00A1387A" w:rsidRPr="00BF552C" w:rsidRDefault="00032131" w:rsidP="00032131">
            <w:pPr>
              <w:jc w:val="right"/>
              <w:rPr>
                <w:rFonts w:ascii="Times New Roman" w:hAnsi="Times New Roman" w:cs="Times New Roman"/>
                <w:b/>
              </w:rPr>
            </w:pPr>
            <w:r w:rsidRPr="00BF552C">
              <w:rPr>
                <w:rFonts w:ascii="Times New Roman" w:hAnsi="Times New Roman" w:cs="Times New Roman"/>
                <w:b/>
              </w:rPr>
              <w:t>105,58</w:t>
            </w:r>
          </w:p>
        </w:tc>
      </w:tr>
      <w:tr w:rsidR="00A1387A" w:rsidRPr="00BF552C" w:rsidTr="00032131">
        <w:tc>
          <w:tcPr>
            <w:tcW w:w="3261" w:type="dxa"/>
            <w:vAlign w:val="bottom"/>
          </w:tcPr>
          <w:p w:rsidR="00A1387A" w:rsidRPr="00BF552C" w:rsidRDefault="00A1387A" w:rsidP="00A1387A">
            <w:pPr>
              <w:rPr>
                <w:rFonts w:ascii="Times New Roman" w:hAnsi="Times New Roman" w:cs="Times New Roman"/>
              </w:rPr>
            </w:pPr>
            <w:r w:rsidRPr="00BF552C">
              <w:rPr>
                <w:rFonts w:ascii="Times New Roman" w:hAnsi="Times New Roman" w:cs="Times New Roman"/>
              </w:rPr>
              <w:t>63 – Pomoći iz inozemstva i od subjekata unutar općeg proračuna</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2.177.150,00</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2.308.200,00</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106,02</w:t>
            </w:r>
          </w:p>
        </w:tc>
      </w:tr>
      <w:tr w:rsidR="00A1387A" w:rsidRPr="00BF552C" w:rsidTr="00032131">
        <w:tc>
          <w:tcPr>
            <w:tcW w:w="3261" w:type="dxa"/>
            <w:vAlign w:val="bottom"/>
          </w:tcPr>
          <w:p w:rsidR="00A1387A" w:rsidRPr="00BF552C" w:rsidRDefault="009A3107" w:rsidP="009A3107">
            <w:pPr>
              <w:rPr>
                <w:rFonts w:ascii="Times New Roman" w:hAnsi="Times New Roman" w:cs="Times New Roman"/>
              </w:rPr>
            </w:pPr>
            <w:r w:rsidRPr="00BF552C">
              <w:rPr>
                <w:rFonts w:ascii="Times New Roman" w:hAnsi="Times New Roman" w:cs="Times New Roman"/>
              </w:rPr>
              <w:t>65 – Prihodi od upravnih i administrativnih pristojbi, pristojbi po posebnim propisima i naknadama</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1.000,00</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2.000,00</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200,00</w:t>
            </w:r>
          </w:p>
        </w:tc>
      </w:tr>
      <w:tr w:rsidR="00A1387A" w:rsidRPr="00BF552C" w:rsidTr="00032131">
        <w:tc>
          <w:tcPr>
            <w:tcW w:w="3261" w:type="dxa"/>
            <w:vAlign w:val="bottom"/>
          </w:tcPr>
          <w:p w:rsidR="00A1387A" w:rsidRPr="00BF552C" w:rsidRDefault="009A3107" w:rsidP="009A3107">
            <w:pPr>
              <w:rPr>
                <w:rFonts w:ascii="Times New Roman" w:hAnsi="Times New Roman" w:cs="Times New Roman"/>
              </w:rPr>
            </w:pPr>
            <w:r w:rsidRPr="00BF552C">
              <w:rPr>
                <w:rFonts w:ascii="Times New Roman" w:hAnsi="Times New Roman" w:cs="Times New Roman"/>
              </w:rPr>
              <w:t>66 – Prihodi od prodaje proizvoda i robe te pruženih usluga, prihodi od donacija te povrati po protestiranim jamstvima</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14.000,00</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15.000,00</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107,14</w:t>
            </w:r>
          </w:p>
        </w:tc>
      </w:tr>
      <w:tr w:rsidR="00A1387A" w:rsidRPr="00BF552C" w:rsidTr="00032131">
        <w:tc>
          <w:tcPr>
            <w:tcW w:w="3261" w:type="dxa"/>
            <w:vAlign w:val="bottom"/>
          </w:tcPr>
          <w:p w:rsidR="00A1387A" w:rsidRPr="00BF552C" w:rsidRDefault="009A3107" w:rsidP="009A3107">
            <w:pPr>
              <w:rPr>
                <w:rFonts w:ascii="Times New Roman" w:hAnsi="Times New Roman" w:cs="Times New Roman"/>
              </w:rPr>
            </w:pPr>
            <w:r w:rsidRPr="00BF552C">
              <w:rPr>
                <w:rFonts w:ascii="Times New Roman" w:hAnsi="Times New Roman" w:cs="Times New Roman"/>
              </w:rPr>
              <w:t>67 – Prihodi iz nadležnog proračuna i od HZZO-a temeljem ugovornih obveza</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193.978,97</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193,978,97</w:t>
            </w:r>
          </w:p>
        </w:tc>
        <w:tc>
          <w:tcPr>
            <w:tcW w:w="2079" w:type="dxa"/>
            <w:vAlign w:val="bottom"/>
          </w:tcPr>
          <w:p w:rsidR="00A1387A" w:rsidRPr="00BF552C" w:rsidRDefault="00032131" w:rsidP="00032131">
            <w:pPr>
              <w:jc w:val="right"/>
              <w:rPr>
                <w:rFonts w:ascii="Times New Roman" w:hAnsi="Times New Roman" w:cs="Times New Roman"/>
              </w:rPr>
            </w:pPr>
            <w:r w:rsidRPr="00BF552C">
              <w:rPr>
                <w:rFonts w:ascii="Times New Roman" w:hAnsi="Times New Roman" w:cs="Times New Roman"/>
              </w:rPr>
              <w:t>100,00</w:t>
            </w:r>
          </w:p>
        </w:tc>
      </w:tr>
    </w:tbl>
    <w:p w:rsidR="00A1387A" w:rsidRDefault="00A1387A">
      <w:pPr>
        <w:spacing w:after="0" w:line="240" w:lineRule="auto"/>
        <w:jc w:val="both"/>
        <w:rPr>
          <w:rFonts w:ascii="Times New Roman" w:hAnsi="Times New Roman" w:cs="Times New Roman"/>
          <w:sz w:val="24"/>
          <w:szCs w:val="24"/>
        </w:rPr>
      </w:pPr>
    </w:p>
    <w:p w:rsidR="00C81AB4" w:rsidRDefault="000321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tablici je prikazano povećanje na svim prihodima, osim na prihodima 67 - </w:t>
      </w:r>
      <w:r w:rsidRPr="00032131">
        <w:rPr>
          <w:rFonts w:ascii="Times New Roman" w:hAnsi="Times New Roman" w:cs="Times New Roman"/>
          <w:sz w:val="24"/>
          <w:szCs w:val="24"/>
        </w:rPr>
        <w:t>Prihodi iz nadležnog proračuna</w:t>
      </w:r>
      <w:r>
        <w:rPr>
          <w:rFonts w:ascii="Times New Roman" w:hAnsi="Times New Roman" w:cs="Times New Roman"/>
          <w:sz w:val="24"/>
          <w:szCs w:val="24"/>
        </w:rPr>
        <w:t xml:space="preserve">, jer je taj iznos </w:t>
      </w:r>
      <w:r w:rsidR="00BF552C">
        <w:rPr>
          <w:rFonts w:ascii="Times New Roman" w:hAnsi="Times New Roman" w:cs="Times New Roman"/>
          <w:sz w:val="24"/>
          <w:szCs w:val="24"/>
        </w:rPr>
        <w:t>određen Uputom za izradu prijedloga proračuna i financijskih planova</w:t>
      </w:r>
      <w:r w:rsidR="00C81AB4">
        <w:rPr>
          <w:rFonts w:ascii="Times New Roman" w:hAnsi="Times New Roman" w:cs="Times New Roman"/>
          <w:sz w:val="24"/>
          <w:szCs w:val="24"/>
        </w:rPr>
        <w:t>.</w:t>
      </w:r>
      <w:r w:rsidR="00CE6B9D">
        <w:rPr>
          <w:rFonts w:ascii="Times New Roman" w:hAnsi="Times New Roman" w:cs="Times New Roman"/>
          <w:sz w:val="24"/>
          <w:szCs w:val="24"/>
        </w:rPr>
        <w:t xml:space="preserve"> </w:t>
      </w:r>
    </w:p>
    <w:p w:rsidR="00032131" w:rsidRDefault="00C81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Planirano</w:t>
      </w:r>
      <w:r w:rsidR="00CE6B9D">
        <w:rPr>
          <w:rFonts w:ascii="Times New Roman" w:hAnsi="Times New Roman" w:cs="Times New Roman"/>
          <w:sz w:val="24"/>
          <w:szCs w:val="24"/>
        </w:rPr>
        <w:t xml:space="preserve"> je povećanje na prihodima 63 iz kojeg se podmiruju plaće i ostali rashodi za zaposlene</w:t>
      </w:r>
      <w:r>
        <w:rPr>
          <w:rFonts w:ascii="Times New Roman" w:hAnsi="Times New Roman" w:cs="Times New Roman"/>
          <w:sz w:val="24"/>
          <w:szCs w:val="24"/>
        </w:rPr>
        <w:t xml:space="preserve"> iz sredstava Ministarstva znanosti, obrazovanja i mladih</w:t>
      </w:r>
      <w:r w:rsidR="003E39D7">
        <w:rPr>
          <w:rFonts w:ascii="Times New Roman" w:hAnsi="Times New Roman" w:cs="Times New Roman"/>
          <w:sz w:val="24"/>
          <w:szCs w:val="24"/>
        </w:rPr>
        <w:t xml:space="preserve"> zbog rasta osnovice za izračun plaće. </w:t>
      </w:r>
      <w:r>
        <w:rPr>
          <w:rFonts w:ascii="Times New Roman" w:hAnsi="Times New Roman" w:cs="Times New Roman"/>
          <w:sz w:val="24"/>
          <w:szCs w:val="24"/>
        </w:rPr>
        <w:t>Također se iz tih prihoda financira nabava knjiga za knjižnicu i prije</w:t>
      </w:r>
      <w:r w:rsidR="003E39D7">
        <w:rPr>
          <w:rFonts w:ascii="Times New Roman" w:hAnsi="Times New Roman" w:cs="Times New Roman"/>
          <w:sz w:val="24"/>
          <w:szCs w:val="24"/>
        </w:rPr>
        <w:t>voz</w:t>
      </w:r>
      <w:r>
        <w:rPr>
          <w:rFonts w:ascii="Times New Roman" w:hAnsi="Times New Roman" w:cs="Times New Roman"/>
          <w:sz w:val="24"/>
          <w:szCs w:val="24"/>
        </w:rPr>
        <w:t xml:space="preserve"> djece s posebnim potrebama.</w:t>
      </w:r>
    </w:p>
    <w:p w:rsidR="00BF552C" w:rsidRDefault="003E3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Planirano je blago povećanje prihoda 66 koji se odnose na prihode od odrađenih </w:t>
      </w:r>
      <w:proofErr w:type="spellStart"/>
      <w:r>
        <w:rPr>
          <w:rFonts w:ascii="Times New Roman" w:hAnsi="Times New Roman" w:cs="Times New Roman"/>
          <w:sz w:val="24"/>
          <w:szCs w:val="24"/>
        </w:rPr>
        <w:t>cateringa</w:t>
      </w:r>
      <w:proofErr w:type="spellEnd"/>
      <w:r>
        <w:rPr>
          <w:rFonts w:ascii="Times New Roman" w:hAnsi="Times New Roman" w:cs="Times New Roman"/>
          <w:sz w:val="24"/>
          <w:szCs w:val="24"/>
        </w:rPr>
        <w:t xml:space="preserve"> za razne manifestacije te povećanje prihoda 65 koji se odnosne na prihode od izdanih duplikata svjedodžbi.</w:t>
      </w:r>
    </w:p>
    <w:p w:rsidR="00AB7C7D" w:rsidRDefault="00AB7C7D">
      <w:pPr>
        <w:spacing w:after="0" w:line="240" w:lineRule="auto"/>
        <w:jc w:val="both"/>
        <w:rPr>
          <w:rFonts w:ascii="Times New Roman" w:hAnsi="Times New Roman" w:cs="Times New Roman"/>
          <w:sz w:val="24"/>
          <w:szCs w:val="24"/>
        </w:rPr>
      </w:pPr>
    </w:p>
    <w:p w:rsidR="009A3107" w:rsidRDefault="009A3107" w:rsidP="009A3107">
      <w:pPr>
        <w:pStyle w:val="Odlomakpopisa"/>
        <w:numPr>
          <w:ilvl w:val="0"/>
          <w:numId w:val="5"/>
        </w:numPr>
        <w:spacing w:after="0" w:line="240" w:lineRule="auto"/>
        <w:jc w:val="both"/>
        <w:rPr>
          <w:rFonts w:ascii="Times New Roman" w:hAnsi="Times New Roman" w:cs="Times New Roman"/>
          <w:b/>
          <w:sz w:val="24"/>
          <w:szCs w:val="24"/>
        </w:rPr>
      </w:pPr>
      <w:r w:rsidRPr="009A3107">
        <w:rPr>
          <w:rFonts w:ascii="Times New Roman" w:hAnsi="Times New Roman" w:cs="Times New Roman"/>
          <w:b/>
          <w:sz w:val="24"/>
          <w:szCs w:val="24"/>
        </w:rPr>
        <w:t>RASHODI POSLOVANJA</w:t>
      </w:r>
    </w:p>
    <w:p w:rsidR="009A3107" w:rsidRDefault="009A3107" w:rsidP="009A3107">
      <w:pPr>
        <w:spacing w:after="0" w:line="240" w:lineRule="auto"/>
        <w:jc w:val="both"/>
        <w:rPr>
          <w:rFonts w:ascii="Times New Roman" w:hAnsi="Times New Roman" w:cs="Times New Roman"/>
          <w:b/>
          <w:sz w:val="24"/>
          <w:szCs w:val="24"/>
        </w:rPr>
      </w:pPr>
    </w:p>
    <w:p w:rsidR="009A3107" w:rsidRDefault="00B03A5E" w:rsidP="009A3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Ukupni rashodi</w:t>
      </w:r>
      <w:r w:rsidR="009A3107">
        <w:rPr>
          <w:rFonts w:ascii="Times New Roman" w:hAnsi="Times New Roman" w:cs="Times New Roman"/>
          <w:sz w:val="24"/>
          <w:szCs w:val="24"/>
        </w:rPr>
        <w:t xml:space="preserve"> za 2026. godinu planirani su u iznosu od </w:t>
      </w:r>
      <w:r>
        <w:rPr>
          <w:rFonts w:ascii="Times New Roman" w:hAnsi="Times New Roman" w:cs="Times New Roman"/>
          <w:sz w:val="24"/>
          <w:szCs w:val="24"/>
        </w:rPr>
        <w:t>2.544.178,97</w:t>
      </w:r>
      <w:r w:rsidR="009A3107">
        <w:rPr>
          <w:rFonts w:ascii="Times New Roman" w:hAnsi="Times New Roman" w:cs="Times New Roman"/>
          <w:sz w:val="24"/>
          <w:szCs w:val="24"/>
        </w:rPr>
        <w:t xml:space="preserve"> eura što je povećanje za </w:t>
      </w:r>
      <w:r>
        <w:rPr>
          <w:rFonts w:ascii="Times New Roman" w:hAnsi="Times New Roman" w:cs="Times New Roman"/>
          <w:sz w:val="24"/>
          <w:szCs w:val="24"/>
        </w:rPr>
        <w:t>4,49</w:t>
      </w:r>
      <w:r w:rsidR="009A3107">
        <w:rPr>
          <w:rFonts w:ascii="Times New Roman" w:hAnsi="Times New Roman" w:cs="Times New Roman"/>
          <w:sz w:val="24"/>
          <w:szCs w:val="24"/>
        </w:rPr>
        <w:t xml:space="preserve"> % u odnosu na Plan za 2025. godinu.</w:t>
      </w:r>
    </w:p>
    <w:p w:rsidR="009A3107" w:rsidRPr="00A1387A" w:rsidRDefault="009A3107" w:rsidP="009A3107">
      <w:pPr>
        <w:spacing w:after="0" w:line="240" w:lineRule="auto"/>
        <w:jc w:val="both"/>
        <w:rPr>
          <w:rFonts w:ascii="Times New Roman" w:hAnsi="Times New Roman" w:cs="Times New Roman"/>
          <w:sz w:val="24"/>
          <w:szCs w:val="24"/>
        </w:rPr>
      </w:pPr>
    </w:p>
    <w:tbl>
      <w:tblPr>
        <w:tblStyle w:val="Reetkatablice"/>
        <w:tblW w:w="9498" w:type="dxa"/>
        <w:tblInd w:w="-147" w:type="dxa"/>
        <w:tblLook w:val="04A0" w:firstRow="1" w:lastRow="0" w:firstColumn="1" w:lastColumn="0" w:noHBand="0" w:noVBand="1"/>
      </w:tblPr>
      <w:tblGrid>
        <w:gridCol w:w="3261"/>
        <w:gridCol w:w="2079"/>
        <w:gridCol w:w="2079"/>
        <w:gridCol w:w="2079"/>
      </w:tblGrid>
      <w:tr w:rsidR="00E16E0F" w:rsidTr="00B736AE">
        <w:tc>
          <w:tcPr>
            <w:tcW w:w="3261" w:type="dxa"/>
            <w:shd w:val="clear" w:color="auto" w:fill="D9D9D9" w:themeFill="background1" w:themeFillShade="D9"/>
            <w:vAlign w:val="center"/>
          </w:tcPr>
          <w:p w:rsidR="00E16E0F" w:rsidRPr="00A1387A" w:rsidRDefault="00E16E0F" w:rsidP="00B736AE">
            <w:pPr>
              <w:jc w:val="both"/>
              <w:rPr>
                <w:rFonts w:ascii="Times New Roman" w:hAnsi="Times New Roman" w:cs="Times New Roman"/>
              </w:rPr>
            </w:pPr>
            <w:r>
              <w:rPr>
                <w:rFonts w:ascii="Times New Roman" w:hAnsi="Times New Roman" w:cs="Times New Roman"/>
              </w:rPr>
              <w:t>Rashodi/ izdaci</w:t>
            </w:r>
          </w:p>
        </w:tc>
        <w:tc>
          <w:tcPr>
            <w:tcW w:w="2079" w:type="dxa"/>
            <w:shd w:val="clear" w:color="auto" w:fill="D9D9D9" w:themeFill="background1" w:themeFillShade="D9"/>
            <w:vAlign w:val="center"/>
          </w:tcPr>
          <w:p w:rsidR="00E16E0F" w:rsidRPr="00A1387A" w:rsidRDefault="00E16E0F" w:rsidP="00B736AE">
            <w:pPr>
              <w:rPr>
                <w:rFonts w:ascii="Times New Roman" w:hAnsi="Times New Roman" w:cs="Times New Roman"/>
              </w:rPr>
            </w:pPr>
            <w:r w:rsidRPr="00A1387A">
              <w:rPr>
                <w:rFonts w:ascii="Times New Roman" w:hAnsi="Times New Roman" w:cs="Times New Roman"/>
              </w:rPr>
              <w:t>Plan za 2025. godinu</w:t>
            </w:r>
          </w:p>
        </w:tc>
        <w:tc>
          <w:tcPr>
            <w:tcW w:w="2079" w:type="dxa"/>
            <w:shd w:val="clear" w:color="auto" w:fill="D9D9D9" w:themeFill="background1" w:themeFillShade="D9"/>
            <w:vAlign w:val="center"/>
          </w:tcPr>
          <w:p w:rsidR="00E16E0F" w:rsidRPr="00A1387A" w:rsidRDefault="00E16E0F" w:rsidP="00E16E0F">
            <w:pPr>
              <w:rPr>
                <w:rFonts w:ascii="Times New Roman" w:hAnsi="Times New Roman" w:cs="Times New Roman"/>
              </w:rPr>
            </w:pPr>
            <w:r w:rsidRPr="00A1387A">
              <w:rPr>
                <w:rFonts w:ascii="Times New Roman" w:hAnsi="Times New Roman" w:cs="Times New Roman"/>
              </w:rPr>
              <w:t>Prijedlog plana za 2026. godinu</w:t>
            </w:r>
          </w:p>
        </w:tc>
        <w:tc>
          <w:tcPr>
            <w:tcW w:w="2079" w:type="dxa"/>
            <w:shd w:val="clear" w:color="auto" w:fill="D9D9D9" w:themeFill="background1" w:themeFillShade="D9"/>
            <w:vAlign w:val="center"/>
          </w:tcPr>
          <w:p w:rsidR="00E16E0F" w:rsidRPr="00A1387A" w:rsidRDefault="00E16E0F" w:rsidP="00B736AE">
            <w:pPr>
              <w:jc w:val="both"/>
              <w:rPr>
                <w:rFonts w:ascii="Times New Roman" w:hAnsi="Times New Roman" w:cs="Times New Roman"/>
              </w:rPr>
            </w:pPr>
            <w:r w:rsidRPr="00A1387A">
              <w:rPr>
                <w:rFonts w:ascii="Times New Roman" w:hAnsi="Times New Roman" w:cs="Times New Roman"/>
              </w:rPr>
              <w:t>Indeks</w:t>
            </w:r>
          </w:p>
        </w:tc>
      </w:tr>
      <w:tr w:rsidR="00E16E0F" w:rsidTr="00B03A5E">
        <w:tc>
          <w:tcPr>
            <w:tcW w:w="3261" w:type="dxa"/>
            <w:vAlign w:val="center"/>
          </w:tcPr>
          <w:p w:rsidR="00E16E0F" w:rsidRPr="009A3107" w:rsidRDefault="0015672D" w:rsidP="00B03A5E">
            <w:pPr>
              <w:jc w:val="both"/>
              <w:rPr>
                <w:rFonts w:ascii="Times New Roman" w:hAnsi="Times New Roman" w:cs="Times New Roman"/>
                <w:b/>
              </w:rPr>
            </w:pPr>
            <w:r>
              <w:rPr>
                <w:rFonts w:ascii="Times New Roman" w:hAnsi="Times New Roman" w:cs="Times New Roman"/>
                <w:b/>
              </w:rPr>
              <w:t xml:space="preserve">Rashodi </w:t>
            </w:r>
            <w:r w:rsidR="00B03A5E">
              <w:rPr>
                <w:rFonts w:ascii="Times New Roman" w:hAnsi="Times New Roman" w:cs="Times New Roman"/>
                <w:b/>
              </w:rPr>
              <w:t>ukupno</w:t>
            </w:r>
          </w:p>
        </w:tc>
        <w:tc>
          <w:tcPr>
            <w:tcW w:w="2079" w:type="dxa"/>
            <w:vAlign w:val="bottom"/>
          </w:tcPr>
          <w:p w:rsidR="00E16E0F" w:rsidRPr="009A3107" w:rsidRDefault="00B03A5E" w:rsidP="00B03A5E">
            <w:pPr>
              <w:jc w:val="right"/>
              <w:rPr>
                <w:rFonts w:ascii="Times New Roman" w:hAnsi="Times New Roman" w:cs="Times New Roman"/>
                <w:b/>
              </w:rPr>
            </w:pPr>
            <w:r>
              <w:rPr>
                <w:rFonts w:ascii="Times New Roman" w:hAnsi="Times New Roman" w:cs="Times New Roman"/>
                <w:b/>
              </w:rPr>
              <w:t>2.434.805,28</w:t>
            </w:r>
          </w:p>
        </w:tc>
        <w:tc>
          <w:tcPr>
            <w:tcW w:w="2079" w:type="dxa"/>
            <w:vAlign w:val="bottom"/>
          </w:tcPr>
          <w:p w:rsidR="00E16E0F" w:rsidRPr="009A3107" w:rsidRDefault="00B03A5E" w:rsidP="00B03A5E">
            <w:pPr>
              <w:jc w:val="right"/>
              <w:rPr>
                <w:rFonts w:ascii="Times New Roman" w:hAnsi="Times New Roman" w:cs="Times New Roman"/>
                <w:b/>
              </w:rPr>
            </w:pPr>
            <w:r>
              <w:rPr>
                <w:rFonts w:ascii="Times New Roman" w:hAnsi="Times New Roman" w:cs="Times New Roman"/>
                <w:b/>
              </w:rPr>
              <w:t>2.544.178,97</w:t>
            </w:r>
          </w:p>
        </w:tc>
        <w:tc>
          <w:tcPr>
            <w:tcW w:w="2079" w:type="dxa"/>
            <w:vAlign w:val="bottom"/>
          </w:tcPr>
          <w:p w:rsidR="00E16E0F" w:rsidRPr="009A3107" w:rsidRDefault="00B03A5E" w:rsidP="00B03A5E">
            <w:pPr>
              <w:jc w:val="right"/>
              <w:rPr>
                <w:rFonts w:ascii="Times New Roman" w:hAnsi="Times New Roman" w:cs="Times New Roman"/>
                <w:b/>
              </w:rPr>
            </w:pPr>
            <w:r>
              <w:rPr>
                <w:rFonts w:ascii="Times New Roman" w:hAnsi="Times New Roman" w:cs="Times New Roman"/>
                <w:b/>
              </w:rPr>
              <w:t>104,49</w:t>
            </w:r>
          </w:p>
        </w:tc>
      </w:tr>
      <w:tr w:rsidR="00E16E0F" w:rsidTr="00B03A5E">
        <w:tc>
          <w:tcPr>
            <w:tcW w:w="3261" w:type="dxa"/>
          </w:tcPr>
          <w:p w:rsidR="00E16E0F" w:rsidRPr="00A1387A" w:rsidRDefault="0015672D" w:rsidP="00B736AE">
            <w:pPr>
              <w:rPr>
                <w:rFonts w:ascii="Times New Roman" w:hAnsi="Times New Roman" w:cs="Times New Roman"/>
              </w:rPr>
            </w:pPr>
            <w:r>
              <w:rPr>
                <w:rFonts w:ascii="Times New Roman" w:hAnsi="Times New Roman" w:cs="Times New Roman"/>
              </w:rPr>
              <w:t>31 – Rashodi za zaposlene</w:t>
            </w:r>
          </w:p>
        </w:tc>
        <w:tc>
          <w:tcPr>
            <w:tcW w:w="2079" w:type="dxa"/>
            <w:vAlign w:val="bottom"/>
          </w:tcPr>
          <w:p w:rsidR="00E16E0F" w:rsidRPr="00B03A5E" w:rsidRDefault="00B03A5E" w:rsidP="00B03A5E">
            <w:pPr>
              <w:jc w:val="right"/>
              <w:rPr>
                <w:rFonts w:ascii="Times New Roman" w:hAnsi="Times New Roman" w:cs="Times New Roman"/>
              </w:rPr>
            </w:pPr>
            <w:r w:rsidRPr="00B03A5E">
              <w:rPr>
                <w:rFonts w:ascii="Times New Roman" w:hAnsi="Times New Roman" w:cs="Times New Roman"/>
              </w:rPr>
              <w:t>2.150.000,00</w:t>
            </w:r>
          </w:p>
        </w:tc>
        <w:tc>
          <w:tcPr>
            <w:tcW w:w="2079" w:type="dxa"/>
            <w:vAlign w:val="bottom"/>
          </w:tcPr>
          <w:p w:rsidR="00E16E0F" w:rsidRPr="00B03A5E" w:rsidRDefault="00B03A5E" w:rsidP="00B03A5E">
            <w:pPr>
              <w:jc w:val="right"/>
              <w:rPr>
                <w:rFonts w:ascii="Times New Roman" w:hAnsi="Times New Roman" w:cs="Times New Roman"/>
              </w:rPr>
            </w:pPr>
            <w:r w:rsidRPr="00B03A5E">
              <w:rPr>
                <w:rFonts w:ascii="Times New Roman" w:hAnsi="Times New Roman" w:cs="Times New Roman"/>
              </w:rPr>
              <w:t>2.280.000,00</w:t>
            </w:r>
          </w:p>
        </w:tc>
        <w:tc>
          <w:tcPr>
            <w:tcW w:w="2079" w:type="dxa"/>
            <w:vAlign w:val="bottom"/>
          </w:tcPr>
          <w:p w:rsidR="00E16E0F" w:rsidRPr="00B03A5E" w:rsidRDefault="00B03A5E" w:rsidP="00B03A5E">
            <w:pPr>
              <w:jc w:val="right"/>
              <w:rPr>
                <w:rFonts w:ascii="Times New Roman" w:hAnsi="Times New Roman" w:cs="Times New Roman"/>
              </w:rPr>
            </w:pPr>
            <w:r w:rsidRPr="00B03A5E">
              <w:rPr>
                <w:rFonts w:ascii="Times New Roman" w:hAnsi="Times New Roman" w:cs="Times New Roman"/>
              </w:rPr>
              <w:t>106,05</w:t>
            </w:r>
          </w:p>
        </w:tc>
      </w:tr>
      <w:tr w:rsidR="00E16E0F" w:rsidTr="00B03A5E">
        <w:tc>
          <w:tcPr>
            <w:tcW w:w="3261" w:type="dxa"/>
          </w:tcPr>
          <w:p w:rsidR="00E16E0F" w:rsidRPr="00A1387A" w:rsidRDefault="0015672D" w:rsidP="00B736AE">
            <w:pPr>
              <w:rPr>
                <w:rFonts w:ascii="Times New Roman" w:hAnsi="Times New Roman" w:cs="Times New Roman"/>
              </w:rPr>
            </w:pPr>
            <w:r>
              <w:rPr>
                <w:rFonts w:ascii="Times New Roman" w:hAnsi="Times New Roman" w:cs="Times New Roman"/>
              </w:rPr>
              <w:t>32 – Materijalni rashodi</w:t>
            </w:r>
          </w:p>
        </w:tc>
        <w:tc>
          <w:tcPr>
            <w:tcW w:w="2079" w:type="dxa"/>
            <w:vAlign w:val="bottom"/>
          </w:tcPr>
          <w:p w:rsidR="00E16E0F" w:rsidRPr="00B03A5E" w:rsidRDefault="00B03A5E" w:rsidP="00B03A5E">
            <w:pPr>
              <w:jc w:val="right"/>
              <w:rPr>
                <w:rFonts w:ascii="Times New Roman" w:hAnsi="Times New Roman" w:cs="Times New Roman"/>
              </w:rPr>
            </w:pPr>
            <w:r>
              <w:rPr>
                <w:rFonts w:ascii="Times New Roman" w:hAnsi="Times New Roman" w:cs="Times New Roman"/>
              </w:rPr>
              <w:t>257.805,28</w:t>
            </w:r>
          </w:p>
        </w:tc>
        <w:tc>
          <w:tcPr>
            <w:tcW w:w="2079" w:type="dxa"/>
            <w:vAlign w:val="bottom"/>
          </w:tcPr>
          <w:p w:rsidR="00E16E0F" w:rsidRPr="00B03A5E" w:rsidRDefault="00B03A5E" w:rsidP="00B03A5E">
            <w:pPr>
              <w:jc w:val="right"/>
              <w:rPr>
                <w:rFonts w:ascii="Times New Roman" w:hAnsi="Times New Roman" w:cs="Times New Roman"/>
              </w:rPr>
            </w:pPr>
            <w:r>
              <w:rPr>
                <w:rFonts w:ascii="Times New Roman" w:hAnsi="Times New Roman" w:cs="Times New Roman"/>
              </w:rPr>
              <w:t>251.678,97</w:t>
            </w:r>
          </w:p>
        </w:tc>
        <w:tc>
          <w:tcPr>
            <w:tcW w:w="2079" w:type="dxa"/>
            <w:vAlign w:val="bottom"/>
          </w:tcPr>
          <w:p w:rsidR="00E16E0F" w:rsidRPr="00B03A5E" w:rsidRDefault="00B03A5E" w:rsidP="00B03A5E">
            <w:pPr>
              <w:jc w:val="right"/>
              <w:rPr>
                <w:rFonts w:ascii="Times New Roman" w:hAnsi="Times New Roman" w:cs="Times New Roman"/>
              </w:rPr>
            </w:pPr>
            <w:r w:rsidRPr="00B03A5E">
              <w:rPr>
                <w:rFonts w:ascii="Times New Roman" w:hAnsi="Times New Roman" w:cs="Times New Roman"/>
              </w:rPr>
              <w:t>97,62</w:t>
            </w:r>
          </w:p>
        </w:tc>
      </w:tr>
      <w:tr w:rsidR="00E16E0F" w:rsidTr="00B03A5E">
        <w:tc>
          <w:tcPr>
            <w:tcW w:w="3261" w:type="dxa"/>
          </w:tcPr>
          <w:p w:rsidR="00E16E0F" w:rsidRPr="00A1387A" w:rsidRDefault="0015672D" w:rsidP="00B736AE">
            <w:pPr>
              <w:rPr>
                <w:rFonts w:ascii="Times New Roman" w:hAnsi="Times New Roman" w:cs="Times New Roman"/>
              </w:rPr>
            </w:pPr>
            <w:r>
              <w:rPr>
                <w:rFonts w:ascii="Times New Roman" w:hAnsi="Times New Roman" w:cs="Times New Roman"/>
              </w:rPr>
              <w:t>42 – Rashodi za nabavu proizvedene dugotrajne imovine</w:t>
            </w:r>
          </w:p>
        </w:tc>
        <w:tc>
          <w:tcPr>
            <w:tcW w:w="2079" w:type="dxa"/>
            <w:vAlign w:val="bottom"/>
          </w:tcPr>
          <w:p w:rsidR="00E16E0F" w:rsidRPr="00B03A5E" w:rsidRDefault="00B03A5E" w:rsidP="00B03A5E">
            <w:pPr>
              <w:jc w:val="right"/>
              <w:rPr>
                <w:rFonts w:ascii="Times New Roman" w:hAnsi="Times New Roman" w:cs="Times New Roman"/>
              </w:rPr>
            </w:pPr>
            <w:r>
              <w:rPr>
                <w:rFonts w:ascii="Times New Roman" w:hAnsi="Times New Roman" w:cs="Times New Roman"/>
              </w:rPr>
              <w:t>27.0000,00</w:t>
            </w:r>
          </w:p>
        </w:tc>
        <w:tc>
          <w:tcPr>
            <w:tcW w:w="2079" w:type="dxa"/>
            <w:vAlign w:val="bottom"/>
          </w:tcPr>
          <w:p w:rsidR="00E16E0F" w:rsidRPr="00B03A5E" w:rsidRDefault="00B03A5E" w:rsidP="00B03A5E">
            <w:pPr>
              <w:jc w:val="right"/>
              <w:rPr>
                <w:rFonts w:ascii="Times New Roman" w:hAnsi="Times New Roman" w:cs="Times New Roman"/>
              </w:rPr>
            </w:pPr>
            <w:r>
              <w:rPr>
                <w:rFonts w:ascii="Times New Roman" w:hAnsi="Times New Roman" w:cs="Times New Roman"/>
              </w:rPr>
              <w:t>12.500,00</w:t>
            </w:r>
          </w:p>
        </w:tc>
        <w:tc>
          <w:tcPr>
            <w:tcW w:w="2079" w:type="dxa"/>
            <w:vAlign w:val="bottom"/>
          </w:tcPr>
          <w:p w:rsidR="00E16E0F" w:rsidRPr="00B03A5E" w:rsidRDefault="00B03A5E" w:rsidP="00B03A5E">
            <w:pPr>
              <w:jc w:val="right"/>
              <w:rPr>
                <w:rFonts w:ascii="Times New Roman" w:hAnsi="Times New Roman" w:cs="Times New Roman"/>
              </w:rPr>
            </w:pPr>
            <w:r>
              <w:rPr>
                <w:rFonts w:ascii="Times New Roman" w:hAnsi="Times New Roman" w:cs="Times New Roman"/>
              </w:rPr>
              <w:t>46,30</w:t>
            </w:r>
          </w:p>
        </w:tc>
      </w:tr>
    </w:tbl>
    <w:p w:rsidR="009A3107" w:rsidRDefault="009A3107" w:rsidP="009A3107">
      <w:pPr>
        <w:spacing w:after="0" w:line="240" w:lineRule="auto"/>
        <w:jc w:val="both"/>
        <w:rPr>
          <w:rFonts w:ascii="Times New Roman" w:hAnsi="Times New Roman" w:cs="Times New Roman"/>
          <w:b/>
          <w:sz w:val="24"/>
          <w:szCs w:val="24"/>
        </w:rPr>
      </w:pPr>
    </w:p>
    <w:p w:rsidR="0015672D" w:rsidRDefault="0015672D" w:rsidP="009A3107">
      <w:pPr>
        <w:spacing w:after="0" w:line="240" w:lineRule="auto"/>
        <w:jc w:val="both"/>
        <w:rPr>
          <w:rFonts w:ascii="Times New Roman" w:hAnsi="Times New Roman" w:cs="Times New Roman"/>
          <w:sz w:val="24"/>
          <w:szCs w:val="24"/>
        </w:rPr>
      </w:pPr>
      <w:r w:rsidRPr="0015672D">
        <w:rPr>
          <w:rFonts w:ascii="Times New Roman" w:hAnsi="Times New Roman" w:cs="Times New Roman"/>
          <w:sz w:val="24"/>
          <w:szCs w:val="24"/>
        </w:rPr>
        <w:t>Najveće povećanje</w:t>
      </w:r>
      <w:r>
        <w:rPr>
          <w:rFonts w:ascii="Times New Roman" w:hAnsi="Times New Roman" w:cs="Times New Roman"/>
          <w:sz w:val="24"/>
          <w:szCs w:val="24"/>
        </w:rPr>
        <w:t xml:space="preserve"> je na rashodima za zaposlene koji se financiraju iz sredstava Državnog proračuna (Ministarstvo znanosti, obrazovanja i mladih), a odnose se na plaće nastavnika, stručnih suradnika i administrativno – tehničkog osoblja te materijalna prava zaposlenih. U 2026. godini su planirani veći rashodi </w:t>
      </w:r>
      <w:r w:rsidRPr="009A3107">
        <w:rPr>
          <w:rFonts w:ascii="Times New Roman" w:hAnsi="Times New Roman" w:cs="Times New Roman"/>
          <w:sz w:val="24"/>
          <w:szCs w:val="24"/>
        </w:rPr>
        <w:t>zbog povećanja osnovice za izračun plaće</w:t>
      </w:r>
      <w:r>
        <w:rPr>
          <w:rFonts w:ascii="Times New Roman" w:hAnsi="Times New Roman" w:cs="Times New Roman"/>
          <w:sz w:val="24"/>
          <w:szCs w:val="24"/>
        </w:rPr>
        <w:t>.</w:t>
      </w:r>
    </w:p>
    <w:p w:rsidR="0015672D" w:rsidRDefault="0015672D" w:rsidP="009A3107">
      <w:pPr>
        <w:spacing w:after="0" w:line="240" w:lineRule="auto"/>
        <w:jc w:val="both"/>
        <w:rPr>
          <w:rFonts w:ascii="Times New Roman" w:hAnsi="Times New Roman" w:cs="Times New Roman"/>
          <w:sz w:val="24"/>
          <w:szCs w:val="24"/>
        </w:rPr>
      </w:pPr>
    </w:p>
    <w:p w:rsidR="0015672D" w:rsidRDefault="0015672D" w:rsidP="009A3107">
      <w:pPr>
        <w:spacing w:after="0" w:line="240" w:lineRule="auto"/>
        <w:jc w:val="both"/>
        <w:rPr>
          <w:rFonts w:ascii="Times New Roman" w:hAnsi="Times New Roman" w:cs="Times New Roman"/>
          <w:sz w:val="24"/>
          <w:szCs w:val="24"/>
        </w:rPr>
      </w:pPr>
      <w:r w:rsidRPr="00A81B93">
        <w:rPr>
          <w:rFonts w:ascii="Times New Roman" w:hAnsi="Times New Roman" w:cs="Times New Roman"/>
          <w:sz w:val="24"/>
          <w:szCs w:val="24"/>
        </w:rPr>
        <w:t xml:space="preserve">Materijalni rashodi odnose se na </w:t>
      </w:r>
      <w:r w:rsidR="00186953" w:rsidRPr="00A81B93">
        <w:rPr>
          <w:rFonts w:ascii="Times New Roman" w:hAnsi="Times New Roman" w:cs="Times New Roman"/>
          <w:sz w:val="24"/>
          <w:szCs w:val="24"/>
        </w:rPr>
        <w:t>rashode za materijal i energiju</w:t>
      </w:r>
      <w:r w:rsidRPr="00A81B93">
        <w:rPr>
          <w:rFonts w:ascii="Times New Roman" w:hAnsi="Times New Roman" w:cs="Times New Roman"/>
          <w:sz w:val="24"/>
          <w:szCs w:val="24"/>
        </w:rPr>
        <w:t>, rashode za usluge</w:t>
      </w:r>
      <w:r w:rsidR="00186953" w:rsidRPr="00A81B93">
        <w:rPr>
          <w:rFonts w:ascii="Times New Roman" w:hAnsi="Times New Roman" w:cs="Times New Roman"/>
          <w:sz w:val="24"/>
          <w:szCs w:val="24"/>
        </w:rPr>
        <w:t xml:space="preserve">, naknade troškova zaposlenima te ostale nespomenute rashode poslovanja, a planirani su u ukupnom iznosu od </w:t>
      </w:r>
      <w:r w:rsidR="00A161C7" w:rsidRPr="00A81B93">
        <w:rPr>
          <w:rFonts w:ascii="Times New Roman" w:hAnsi="Times New Roman" w:cs="Times New Roman"/>
          <w:sz w:val="24"/>
          <w:szCs w:val="24"/>
        </w:rPr>
        <w:t>251.678,97 EUR</w:t>
      </w:r>
      <w:r w:rsidR="00186953" w:rsidRPr="00A81B93">
        <w:rPr>
          <w:rFonts w:ascii="Times New Roman" w:hAnsi="Times New Roman" w:cs="Times New Roman"/>
          <w:sz w:val="24"/>
          <w:szCs w:val="24"/>
        </w:rPr>
        <w:t>.</w:t>
      </w:r>
      <w:r w:rsidR="00A161C7" w:rsidRPr="00A81B93">
        <w:rPr>
          <w:rFonts w:ascii="Times New Roman" w:hAnsi="Times New Roman" w:cs="Times New Roman"/>
          <w:sz w:val="24"/>
          <w:szCs w:val="24"/>
        </w:rPr>
        <w:t xml:space="preserve"> Planirani su u manjem iznosu u odnosu na tekuću godinu jer škola planira prenijeti manji višak prihoda u 2026. godinu za podmirenje materijalnih rashoda.</w:t>
      </w:r>
    </w:p>
    <w:p w:rsidR="00A161C7" w:rsidRDefault="00A161C7" w:rsidP="009A3107">
      <w:pPr>
        <w:spacing w:after="0" w:line="240" w:lineRule="auto"/>
        <w:jc w:val="both"/>
        <w:rPr>
          <w:rFonts w:ascii="Times New Roman" w:hAnsi="Times New Roman" w:cs="Times New Roman"/>
          <w:sz w:val="24"/>
          <w:szCs w:val="24"/>
        </w:rPr>
      </w:pPr>
    </w:p>
    <w:p w:rsidR="00186953" w:rsidRDefault="00186953" w:rsidP="009A3107">
      <w:pPr>
        <w:spacing w:after="0" w:line="240" w:lineRule="auto"/>
        <w:jc w:val="both"/>
        <w:rPr>
          <w:rFonts w:ascii="Times New Roman" w:hAnsi="Times New Roman" w:cs="Times New Roman"/>
          <w:sz w:val="24"/>
          <w:szCs w:val="24"/>
        </w:rPr>
      </w:pPr>
      <w:r w:rsidRPr="00186953">
        <w:rPr>
          <w:rFonts w:ascii="Times New Roman" w:hAnsi="Times New Roman" w:cs="Times New Roman"/>
          <w:sz w:val="24"/>
          <w:szCs w:val="24"/>
        </w:rPr>
        <w:lastRenderedPageBreak/>
        <w:t>Rashodi za nabavu proizvedene dugotrajne imovine</w:t>
      </w:r>
      <w:r>
        <w:rPr>
          <w:rFonts w:ascii="Times New Roman" w:hAnsi="Times New Roman" w:cs="Times New Roman"/>
          <w:sz w:val="24"/>
          <w:szCs w:val="24"/>
        </w:rPr>
        <w:t xml:space="preserve"> odnose se na rashode za nabavu knjiga</w:t>
      </w:r>
      <w:r w:rsidR="00A161C7">
        <w:rPr>
          <w:rFonts w:ascii="Times New Roman" w:hAnsi="Times New Roman" w:cs="Times New Roman"/>
          <w:sz w:val="24"/>
          <w:szCs w:val="24"/>
        </w:rPr>
        <w:t xml:space="preserve"> te uredske opreme i namještaja, ali su planirani u manjem iznosu u odnosu na Plan za 2025. godinu jer je škola do sada nabavila većinu informatičke opreme potrebne za rad.</w:t>
      </w:r>
    </w:p>
    <w:p w:rsidR="00A161C7" w:rsidRPr="0015672D" w:rsidRDefault="00A161C7" w:rsidP="009A3107">
      <w:pPr>
        <w:spacing w:after="0" w:line="240" w:lineRule="auto"/>
        <w:jc w:val="both"/>
        <w:rPr>
          <w:rFonts w:ascii="Times New Roman" w:hAnsi="Times New Roman" w:cs="Times New Roman"/>
          <w:sz w:val="24"/>
          <w:szCs w:val="24"/>
        </w:rPr>
      </w:pPr>
    </w:p>
    <w:p w:rsidR="009A3107" w:rsidRDefault="00186953" w:rsidP="00186953">
      <w:pPr>
        <w:pStyle w:val="Odlomakpopisa"/>
        <w:numPr>
          <w:ilvl w:val="0"/>
          <w:numId w:val="5"/>
        </w:numPr>
        <w:spacing w:after="0" w:line="240" w:lineRule="auto"/>
        <w:jc w:val="both"/>
        <w:rPr>
          <w:rFonts w:ascii="Times New Roman" w:hAnsi="Times New Roman" w:cs="Times New Roman"/>
          <w:b/>
          <w:sz w:val="24"/>
          <w:szCs w:val="24"/>
        </w:rPr>
      </w:pPr>
      <w:r w:rsidRPr="00186953">
        <w:rPr>
          <w:rFonts w:ascii="Times New Roman" w:hAnsi="Times New Roman" w:cs="Times New Roman"/>
          <w:b/>
          <w:sz w:val="24"/>
          <w:szCs w:val="24"/>
        </w:rPr>
        <w:t>PRENESENI VIŠAK FINANCIJSKOG PLANA</w:t>
      </w:r>
    </w:p>
    <w:p w:rsidR="00186953" w:rsidRDefault="00186953" w:rsidP="00186953">
      <w:pPr>
        <w:spacing w:after="0" w:line="240" w:lineRule="auto"/>
        <w:jc w:val="both"/>
        <w:rPr>
          <w:rFonts w:ascii="Times New Roman" w:hAnsi="Times New Roman" w:cs="Times New Roman"/>
          <w:b/>
          <w:sz w:val="24"/>
          <w:szCs w:val="24"/>
        </w:rPr>
      </w:pPr>
    </w:p>
    <w:tbl>
      <w:tblPr>
        <w:tblStyle w:val="Reetkatablice"/>
        <w:tblW w:w="9498" w:type="dxa"/>
        <w:tblInd w:w="-147" w:type="dxa"/>
        <w:tblLook w:val="04A0" w:firstRow="1" w:lastRow="0" w:firstColumn="1" w:lastColumn="0" w:noHBand="0" w:noVBand="1"/>
      </w:tblPr>
      <w:tblGrid>
        <w:gridCol w:w="2506"/>
        <w:gridCol w:w="1398"/>
        <w:gridCol w:w="1398"/>
        <w:gridCol w:w="1399"/>
        <w:gridCol w:w="1398"/>
        <w:gridCol w:w="1399"/>
      </w:tblGrid>
      <w:tr w:rsidR="00186953" w:rsidTr="00995D40">
        <w:tc>
          <w:tcPr>
            <w:tcW w:w="2506" w:type="dxa"/>
            <w:shd w:val="clear" w:color="auto" w:fill="D9D9D9" w:themeFill="background1" w:themeFillShade="D9"/>
            <w:vAlign w:val="center"/>
          </w:tcPr>
          <w:p w:rsidR="00186953" w:rsidRDefault="00186953" w:rsidP="00186953">
            <w:pPr>
              <w:jc w:val="both"/>
              <w:rPr>
                <w:rFonts w:ascii="Times New Roman" w:hAnsi="Times New Roman" w:cs="Times New Roman"/>
                <w:sz w:val="24"/>
                <w:szCs w:val="24"/>
              </w:rPr>
            </w:pPr>
          </w:p>
        </w:tc>
        <w:tc>
          <w:tcPr>
            <w:tcW w:w="1398" w:type="dxa"/>
            <w:shd w:val="clear" w:color="auto" w:fill="D9D9D9" w:themeFill="background1" w:themeFillShade="D9"/>
            <w:vAlign w:val="center"/>
          </w:tcPr>
          <w:p w:rsidR="00186953" w:rsidRDefault="00186953" w:rsidP="00186953">
            <w:pPr>
              <w:jc w:val="both"/>
              <w:rPr>
                <w:rFonts w:ascii="Times New Roman" w:hAnsi="Times New Roman" w:cs="Times New Roman"/>
                <w:sz w:val="24"/>
                <w:szCs w:val="24"/>
              </w:rPr>
            </w:pPr>
            <w:r>
              <w:rPr>
                <w:rFonts w:ascii="Times New Roman" w:hAnsi="Times New Roman" w:cs="Times New Roman"/>
                <w:sz w:val="24"/>
                <w:szCs w:val="24"/>
              </w:rPr>
              <w:t>Izvršenje 2024.</w:t>
            </w:r>
          </w:p>
        </w:tc>
        <w:tc>
          <w:tcPr>
            <w:tcW w:w="1398" w:type="dxa"/>
            <w:shd w:val="clear" w:color="auto" w:fill="D9D9D9" w:themeFill="background1" w:themeFillShade="D9"/>
            <w:vAlign w:val="center"/>
          </w:tcPr>
          <w:p w:rsidR="00186953" w:rsidRDefault="00186953" w:rsidP="00186953">
            <w:pPr>
              <w:jc w:val="both"/>
              <w:rPr>
                <w:rFonts w:ascii="Times New Roman" w:hAnsi="Times New Roman" w:cs="Times New Roman"/>
                <w:sz w:val="24"/>
                <w:szCs w:val="24"/>
              </w:rPr>
            </w:pPr>
            <w:r>
              <w:rPr>
                <w:rFonts w:ascii="Times New Roman" w:hAnsi="Times New Roman" w:cs="Times New Roman"/>
                <w:sz w:val="24"/>
                <w:szCs w:val="24"/>
              </w:rPr>
              <w:t>Plan 2025.</w:t>
            </w:r>
          </w:p>
        </w:tc>
        <w:tc>
          <w:tcPr>
            <w:tcW w:w="1399" w:type="dxa"/>
            <w:shd w:val="clear" w:color="auto" w:fill="D9D9D9" w:themeFill="background1" w:themeFillShade="D9"/>
            <w:vAlign w:val="center"/>
          </w:tcPr>
          <w:p w:rsidR="00186953" w:rsidRDefault="00186953" w:rsidP="00186953">
            <w:pPr>
              <w:jc w:val="both"/>
              <w:rPr>
                <w:rFonts w:ascii="Times New Roman" w:hAnsi="Times New Roman" w:cs="Times New Roman"/>
                <w:sz w:val="24"/>
                <w:szCs w:val="24"/>
              </w:rPr>
            </w:pPr>
            <w:r>
              <w:rPr>
                <w:rFonts w:ascii="Times New Roman" w:hAnsi="Times New Roman" w:cs="Times New Roman"/>
                <w:sz w:val="24"/>
                <w:szCs w:val="24"/>
              </w:rPr>
              <w:t>Plan 202</w:t>
            </w:r>
            <w:r w:rsidR="00995D40">
              <w:rPr>
                <w:rFonts w:ascii="Times New Roman" w:hAnsi="Times New Roman" w:cs="Times New Roman"/>
                <w:sz w:val="24"/>
                <w:szCs w:val="24"/>
              </w:rPr>
              <w:t>6.</w:t>
            </w:r>
          </w:p>
        </w:tc>
        <w:tc>
          <w:tcPr>
            <w:tcW w:w="1398" w:type="dxa"/>
            <w:shd w:val="clear" w:color="auto" w:fill="D9D9D9" w:themeFill="background1" w:themeFillShade="D9"/>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Plan 2027.</w:t>
            </w:r>
          </w:p>
        </w:tc>
        <w:tc>
          <w:tcPr>
            <w:tcW w:w="1399" w:type="dxa"/>
            <w:shd w:val="clear" w:color="auto" w:fill="D9D9D9" w:themeFill="background1" w:themeFillShade="D9"/>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Plan 2028.</w:t>
            </w:r>
          </w:p>
        </w:tc>
      </w:tr>
      <w:tr w:rsidR="00186953" w:rsidTr="00995D40">
        <w:tc>
          <w:tcPr>
            <w:tcW w:w="2506"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Prijenos viška /manjka iz prethodnih godina</w:t>
            </w:r>
          </w:p>
        </w:tc>
        <w:tc>
          <w:tcPr>
            <w:tcW w:w="1398" w:type="dxa"/>
            <w:vAlign w:val="center"/>
          </w:tcPr>
          <w:p w:rsidR="00186953" w:rsidRDefault="00A161C7" w:rsidP="00186953">
            <w:pPr>
              <w:jc w:val="both"/>
              <w:rPr>
                <w:rFonts w:ascii="Times New Roman" w:hAnsi="Times New Roman" w:cs="Times New Roman"/>
                <w:sz w:val="24"/>
                <w:szCs w:val="24"/>
              </w:rPr>
            </w:pPr>
            <w:r>
              <w:rPr>
                <w:rFonts w:ascii="Times New Roman" w:hAnsi="Times New Roman" w:cs="Times New Roman"/>
                <w:sz w:val="24"/>
                <w:szCs w:val="24"/>
              </w:rPr>
              <w:t>15.497,11</w:t>
            </w:r>
          </w:p>
        </w:tc>
        <w:tc>
          <w:tcPr>
            <w:tcW w:w="1398" w:type="dxa"/>
            <w:vAlign w:val="center"/>
          </w:tcPr>
          <w:p w:rsidR="00186953" w:rsidRDefault="00A161C7" w:rsidP="00186953">
            <w:pPr>
              <w:jc w:val="both"/>
              <w:rPr>
                <w:rFonts w:ascii="Times New Roman" w:hAnsi="Times New Roman" w:cs="Times New Roman"/>
                <w:sz w:val="24"/>
                <w:szCs w:val="24"/>
              </w:rPr>
            </w:pPr>
            <w:r>
              <w:rPr>
                <w:rFonts w:ascii="Times New Roman" w:hAnsi="Times New Roman" w:cs="Times New Roman"/>
                <w:sz w:val="24"/>
                <w:szCs w:val="24"/>
              </w:rPr>
              <w:t>48.676,31</w:t>
            </w:r>
          </w:p>
        </w:tc>
        <w:tc>
          <w:tcPr>
            <w:tcW w:w="1399" w:type="dxa"/>
            <w:vAlign w:val="center"/>
          </w:tcPr>
          <w:p w:rsidR="00186953" w:rsidRDefault="00A161C7" w:rsidP="00186953">
            <w:pPr>
              <w:jc w:val="both"/>
              <w:rPr>
                <w:rFonts w:ascii="Times New Roman" w:hAnsi="Times New Roman" w:cs="Times New Roman"/>
                <w:sz w:val="24"/>
                <w:szCs w:val="24"/>
              </w:rPr>
            </w:pPr>
            <w:r>
              <w:rPr>
                <w:rFonts w:ascii="Times New Roman" w:hAnsi="Times New Roman" w:cs="Times New Roman"/>
                <w:sz w:val="24"/>
                <w:szCs w:val="24"/>
              </w:rPr>
              <w:t>25.000,00</w:t>
            </w:r>
          </w:p>
        </w:tc>
        <w:tc>
          <w:tcPr>
            <w:tcW w:w="1398"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0,00</w:t>
            </w:r>
          </w:p>
        </w:tc>
        <w:tc>
          <w:tcPr>
            <w:tcW w:w="1399"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0,00</w:t>
            </w:r>
          </w:p>
        </w:tc>
      </w:tr>
      <w:tr w:rsidR="00186953" w:rsidTr="00995D40">
        <w:tc>
          <w:tcPr>
            <w:tcW w:w="2506"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Prijenos viška/ manjka u sljedeće razdoblje</w:t>
            </w:r>
          </w:p>
        </w:tc>
        <w:tc>
          <w:tcPr>
            <w:tcW w:w="1398" w:type="dxa"/>
            <w:vAlign w:val="center"/>
          </w:tcPr>
          <w:p w:rsidR="00186953" w:rsidRDefault="00A161C7" w:rsidP="00186953">
            <w:pPr>
              <w:jc w:val="both"/>
              <w:rPr>
                <w:rFonts w:ascii="Times New Roman" w:hAnsi="Times New Roman" w:cs="Times New Roman"/>
                <w:sz w:val="24"/>
                <w:szCs w:val="24"/>
              </w:rPr>
            </w:pPr>
            <w:r>
              <w:rPr>
                <w:rFonts w:ascii="Times New Roman" w:hAnsi="Times New Roman" w:cs="Times New Roman"/>
                <w:sz w:val="24"/>
                <w:szCs w:val="24"/>
              </w:rPr>
              <w:t>48.676,31</w:t>
            </w:r>
          </w:p>
        </w:tc>
        <w:tc>
          <w:tcPr>
            <w:tcW w:w="1398"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0,00</w:t>
            </w:r>
          </w:p>
        </w:tc>
        <w:tc>
          <w:tcPr>
            <w:tcW w:w="1399"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0,00</w:t>
            </w:r>
          </w:p>
        </w:tc>
        <w:tc>
          <w:tcPr>
            <w:tcW w:w="1398"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0,00</w:t>
            </w:r>
          </w:p>
        </w:tc>
        <w:tc>
          <w:tcPr>
            <w:tcW w:w="1399" w:type="dxa"/>
            <w:vAlign w:val="center"/>
          </w:tcPr>
          <w:p w:rsidR="00186953" w:rsidRDefault="00995D40" w:rsidP="00186953">
            <w:pPr>
              <w:jc w:val="both"/>
              <w:rPr>
                <w:rFonts w:ascii="Times New Roman" w:hAnsi="Times New Roman" w:cs="Times New Roman"/>
                <w:sz w:val="24"/>
                <w:szCs w:val="24"/>
              </w:rPr>
            </w:pPr>
            <w:r>
              <w:rPr>
                <w:rFonts w:ascii="Times New Roman" w:hAnsi="Times New Roman" w:cs="Times New Roman"/>
                <w:sz w:val="24"/>
                <w:szCs w:val="24"/>
              </w:rPr>
              <w:t>0,00</w:t>
            </w:r>
          </w:p>
        </w:tc>
      </w:tr>
    </w:tbl>
    <w:p w:rsidR="00186953" w:rsidRDefault="00186953" w:rsidP="00186953">
      <w:pPr>
        <w:spacing w:after="0" w:line="240" w:lineRule="auto"/>
        <w:jc w:val="both"/>
        <w:rPr>
          <w:rFonts w:ascii="Times New Roman" w:hAnsi="Times New Roman" w:cs="Times New Roman"/>
          <w:sz w:val="24"/>
          <w:szCs w:val="24"/>
        </w:rPr>
      </w:pPr>
    </w:p>
    <w:p w:rsidR="00995D40" w:rsidRDefault="00995D40" w:rsidP="00186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Procjenjuje se da će se iz 2025. godine u 2026. godinu prenijeti višak u iznosu od  </w:t>
      </w:r>
      <w:r w:rsidR="00A161C7">
        <w:rPr>
          <w:rFonts w:ascii="Times New Roman" w:hAnsi="Times New Roman" w:cs="Times New Roman"/>
          <w:sz w:val="24"/>
          <w:szCs w:val="24"/>
        </w:rPr>
        <w:t xml:space="preserve">25.000 EUR </w:t>
      </w:r>
      <w:r>
        <w:rPr>
          <w:rFonts w:ascii="Times New Roman" w:hAnsi="Times New Roman" w:cs="Times New Roman"/>
          <w:sz w:val="24"/>
          <w:szCs w:val="24"/>
        </w:rPr>
        <w:t>te će se u 2026. godini rasporediti u cijelosti.</w:t>
      </w:r>
    </w:p>
    <w:p w:rsidR="00995D40" w:rsidRDefault="00995D40" w:rsidP="00186953">
      <w:pPr>
        <w:spacing w:after="0" w:line="240" w:lineRule="auto"/>
        <w:jc w:val="both"/>
        <w:rPr>
          <w:rFonts w:ascii="Times New Roman" w:hAnsi="Times New Roman" w:cs="Times New Roman"/>
          <w:sz w:val="24"/>
          <w:szCs w:val="24"/>
        </w:rPr>
      </w:pPr>
    </w:p>
    <w:p w:rsidR="00995D40" w:rsidRDefault="00995D40" w:rsidP="00EB6EF4">
      <w:pPr>
        <w:pStyle w:val="Odlomakpopisa"/>
        <w:numPr>
          <w:ilvl w:val="0"/>
          <w:numId w:val="16"/>
        </w:numPr>
        <w:spacing w:after="0" w:line="240" w:lineRule="auto"/>
        <w:jc w:val="both"/>
        <w:rPr>
          <w:rFonts w:ascii="Times New Roman" w:hAnsi="Times New Roman" w:cs="Times New Roman"/>
          <w:b/>
          <w:sz w:val="24"/>
          <w:szCs w:val="24"/>
        </w:rPr>
      </w:pPr>
      <w:r w:rsidRPr="00EB6EF4">
        <w:rPr>
          <w:rFonts w:ascii="Times New Roman" w:hAnsi="Times New Roman" w:cs="Times New Roman"/>
          <w:b/>
          <w:sz w:val="24"/>
          <w:szCs w:val="24"/>
        </w:rPr>
        <w:t>POSEBNI DIO FINANCIJSKOG PLANA</w:t>
      </w:r>
    </w:p>
    <w:p w:rsidR="00BF552C" w:rsidRDefault="00BF552C" w:rsidP="00BF552C">
      <w:pPr>
        <w:spacing w:after="0" w:line="240" w:lineRule="auto"/>
        <w:jc w:val="both"/>
        <w:rPr>
          <w:rFonts w:ascii="Times New Roman" w:hAnsi="Times New Roman" w:cs="Times New Roman"/>
          <w:b/>
          <w:sz w:val="24"/>
          <w:szCs w:val="24"/>
        </w:rPr>
      </w:pPr>
    </w:p>
    <w:p w:rsidR="001F6A14" w:rsidRDefault="001F6A14" w:rsidP="001F6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Posebni dio financijskog plana sastoji se od plana rashoda iskazanih po izvorima financiranja i ekonomskoj klasifikaciji raspoređenih u programe koji se sastoje od aktivnosti i projekata.</w:t>
      </w:r>
    </w:p>
    <w:p w:rsidR="001F6A14" w:rsidRDefault="001F6A14" w:rsidP="00186953">
      <w:pPr>
        <w:spacing w:after="0" w:line="240" w:lineRule="auto"/>
        <w:jc w:val="both"/>
        <w:rPr>
          <w:rFonts w:ascii="Times New Roman" w:hAnsi="Times New Roman" w:cs="Times New Roman"/>
          <w:sz w:val="24"/>
          <w:szCs w:val="24"/>
        </w:rPr>
      </w:pPr>
    </w:p>
    <w:p w:rsidR="007E3BF0" w:rsidRPr="00EB6EF4" w:rsidRDefault="00EB6EF4" w:rsidP="00EB6EF4">
      <w:pPr>
        <w:pStyle w:val="Odlomakpopisa"/>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5672D" w:rsidRPr="00EB6EF4">
        <w:rPr>
          <w:rFonts w:ascii="Times New Roman" w:hAnsi="Times New Roman" w:cs="Times New Roman"/>
          <w:b/>
          <w:sz w:val="24"/>
          <w:szCs w:val="24"/>
        </w:rPr>
        <w:t>OBRAZLOŽENJE PROGRAMA, AKTIVNOSTI I PROJEKTATA</w:t>
      </w:r>
    </w:p>
    <w:p w:rsidR="007E3BF0" w:rsidRDefault="007E3BF0">
      <w:pPr>
        <w:spacing w:after="0" w:line="240" w:lineRule="auto"/>
        <w:jc w:val="both"/>
        <w:rPr>
          <w:rFonts w:ascii="Times New Roman" w:hAnsi="Times New Roman" w:cs="Times New Roman"/>
          <w:b/>
          <w:sz w:val="24"/>
          <w:szCs w:val="24"/>
        </w:rPr>
      </w:pP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Financijskim planom planirana su sredstva za provođenje programa srednje školstv</w:t>
      </w:r>
      <w:r w:rsidR="00BF552C">
        <w:rPr>
          <w:rFonts w:ascii="Times New Roman" w:hAnsi="Times New Roman" w:cs="Times New Roman"/>
          <w:sz w:val="24"/>
          <w:szCs w:val="24"/>
        </w:rPr>
        <w:t xml:space="preserve">o – standard, srednje školstvo – </w:t>
      </w:r>
      <w:r>
        <w:rPr>
          <w:rFonts w:ascii="Times New Roman" w:hAnsi="Times New Roman" w:cs="Times New Roman"/>
          <w:sz w:val="24"/>
          <w:szCs w:val="24"/>
        </w:rPr>
        <w:t>iznad standarda te programi koji se financiraju iz sredstva EU. Ukupni</w:t>
      </w:r>
      <w:r w:rsidR="000946AD">
        <w:rPr>
          <w:rFonts w:ascii="Times New Roman" w:hAnsi="Times New Roman" w:cs="Times New Roman"/>
          <w:sz w:val="24"/>
          <w:szCs w:val="24"/>
        </w:rPr>
        <w:t xml:space="preserve"> planirani prihodi za 2026</w:t>
      </w:r>
      <w:r>
        <w:rPr>
          <w:rFonts w:ascii="Times New Roman" w:hAnsi="Times New Roman" w:cs="Times New Roman"/>
          <w:sz w:val="24"/>
          <w:szCs w:val="24"/>
        </w:rPr>
        <w:t xml:space="preserve">. godinu iznose </w:t>
      </w:r>
      <w:r w:rsidR="000946AD" w:rsidRPr="000946AD">
        <w:rPr>
          <w:rFonts w:ascii="Times New Roman" w:hAnsi="Times New Roman" w:cs="Times New Roman"/>
          <w:sz w:val="24"/>
          <w:szCs w:val="24"/>
        </w:rPr>
        <w:t>2.519.178,97</w:t>
      </w:r>
      <w:r w:rsidR="000946AD">
        <w:rPr>
          <w:rFonts w:ascii="Times New Roman" w:hAnsi="Times New Roman" w:cs="Times New Roman"/>
          <w:sz w:val="24"/>
          <w:szCs w:val="24"/>
        </w:rPr>
        <w:t xml:space="preserve"> </w:t>
      </w:r>
      <w:r>
        <w:rPr>
          <w:rFonts w:ascii="Times New Roman" w:hAnsi="Times New Roman" w:cs="Times New Roman"/>
          <w:sz w:val="24"/>
          <w:szCs w:val="24"/>
        </w:rPr>
        <w:t xml:space="preserve">eura, a rashodi </w:t>
      </w:r>
      <w:r w:rsidR="000946AD" w:rsidRPr="000946AD">
        <w:rPr>
          <w:rFonts w:ascii="Times New Roman" w:hAnsi="Times New Roman" w:cs="Times New Roman"/>
          <w:sz w:val="24"/>
          <w:szCs w:val="24"/>
        </w:rPr>
        <w:t>2.544.178,97</w:t>
      </w:r>
      <w:r w:rsidR="000946AD">
        <w:rPr>
          <w:rFonts w:ascii="Times New Roman" w:hAnsi="Times New Roman" w:cs="Times New Roman"/>
          <w:sz w:val="24"/>
          <w:szCs w:val="24"/>
        </w:rPr>
        <w:t xml:space="preserve"> </w:t>
      </w:r>
      <w:r>
        <w:rPr>
          <w:rFonts w:ascii="Times New Roman" w:hAnsi="Times New Roman" w:cs="Times New Roman"/>
          <w:sz w:val="24"/>
          <w:szCs w:val="24"/>
        </w:rPr>
        <w:t>eura. U plan se uključuje i višak prihoda koji je nastao kao razlika pri</w:t>
      </w:r>
      <w:r w:rsidR="000946AD">
        <w:rPr>
          <w:rFonts w:ascii="Times New Roman" w:hAnsi="Times New Roman" w:cs="Times New Roman"/>
          <w:sz w:val="24"/>
          <w:szCs w:val="24"/>
        </w:rPr>
        <w:t>hoda i rashoda ostvarenih u 2025</w:t>
      </w:r>
      <w:r>
        <w:rPr>
          <w:rFonts w:ascii="Times New Roman" w:hAnsi="Times New Roman" w:cs="Times New Roman"/>
          <w:sz w:val="24"/>
          <w:szCs w:val="24"/>
        </w:rPr>
        <w:t>. godini, a kojim će</w:t>
      </w:r>
      <w:r w:rsidR="000946AD">
        <w:rPr>
          <w:rFonts w:ascii="Times New Roman" w:hAnsi="Times New Roman" w:cs="Times New Roman"/>
          <w:sz w:val="24"/>
          <w:szCs w:val="24"/>
        </w:rPr>
        <w:t xml:space="preserve"> se pokriti višak rashoda u 2026</w:t>
      </w:r>
      <w:r>
        <w:rPr>
          <w:rFonts w:ascii="Times New Roman" w:hAnsi="Times New Roman" w:cs="Times New Roman"/>
          <w:sz w:val="24"/>
          <w:szCs w:val="24"/>
        </w:rPr>
        <w:t>. godini.</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U navedene tri godine želja Škole je podići kvalitetu nastave na što višu razinu i to kontinuiranim i kvalitetnim usavršavanjem nastavnika, sudjelovanjem na seminarima i stručnim skupovima te podizanjem materijalnih i drugih uvjeta u Školi, a sve u skladu s Planom i programom Škole i njenim mogućnostima.</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Škola također planira i dalje sudjelovati i doprinositi daljnjem razvoju putem EU projekata te zaposlenicima i učenicima poboljšati uvjete rada i školovanja.</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U školi se provodi tri programa koji se financiraju iz različitih izvora financiranja:</w:t>
      </w:r>
    </w:p>
    <w:p w:rsidR="007E3BF0" w:rsidRPr="00EB6EF4" w:rsidRDefault="00EB6EF4" w:rsidP="00EB6EF4">
      <w:pPr>
        <w:pStyle w:val="Odlomakpopisa"/>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5672D" w:rsidRPr="00EB6EF4">
        <w:rPr>
          <w:rFonts w:ascii="Times New Roman" w:hAnsi="Times New Roman" w:cs="Times New Roman"/>
          <w:b/>
          <w:sz w:val="24"/>
          <w:szCs w:val="24"/>
        </w:rPr>
        <w:t>Program 2204 – Srednje školstvo-standard</w:t>
      </w:r>
    </w:p>
    <w:tbl>
      <w:tblPr>
        <w:tblStyle w:val="Reetkatablice"/>
        <w:tblW w:w="9528" w:type="dxa"/>
        <w:tblInd w:w="-147" w:type="dxa"/>
        <w:tblLook w:val="04A0" w:firstRow="1" w:lastRow="0" w:firstColumn="1" w:lastColumn="0" w:noHBand="0" w:noVBand="1"/>
      </w:tblPr>
      <w:tblGrid>
        <w:gridCol w:w="1588"/>
        <w:gridCol w:w="1588"/>
        <w:gridCol w:w="1588"/>
        <w:gridCol w:w="1588"/>
        <w:gridCol w:w="1588"/>
        <w:gridCol w:w="1588"/>
      </w:tblGrid>
      <w:tr w:rsidR="007E3BF0" w:rsidTr="009A3107">
        <w:trPr>
          <w:trHeight w:val="773"/>
        </w:trPr>
        <w:tc>
          <w:tcPr>
            <w:tcW w:w="1588"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Šifra aktivnosti/</w:t>
            </w:r>
          </w:p>
          <w:p w:rsidR="007E3BF0" w:rsidRDefault="0015672D">
            <w:pPr>
              <w:jc w:val="both"/>
              <w:rPr>
                <w:rFonts w:ascii="Times New Roman" w:hAnsi="Times New Roman" w:cs="Times New Roman"/>
              </w:rPr>
            </w:pPr>
            <w:r>
              <w:rPr>
                <w:rFonts w:ascii="Times New Roman" w:hAnsi="Times New Roman" w:cs="Times New Roman"/>
              </w:rPr>
              <w:t>projekta</w:t>
            </w:r>
          </w:p>
        </w:tc>
        <w:tc>
          <w:tcPr>
            <w:tcW w:w="1588" w:type="dxa"/>
            <w:shd w:val="clear" w:color="auto" w:fill="D9D9D9" w:themeFill="background1" w:themeFillShade="D9"/>
            <w:vAlign w:val="center"/>
          </w:tcPr>
          <w:p w:rsidR="007E3BF0" w:rsidRDefault="00995D40">
            <w:pPr>
              <w:jc w:val="both"/>
              <w:rPr>
                <w:rFonts w:ascii="Times New Roman" w:hAnsi="Times New Roman" w:cs="Times New Roman"/>
              </w:rPr>
            </w:pPr>
            <w:r>
              <w:rPr>
                <w:rFonts w:ascii="Times New Roman" w:hAnsi="Times New Roman" w:cs="Times New Roman"/>
              </w:rPr>
              <w:t>Plan 2025</w:t>
            </w:r>
            <w:r w:rsidR="0015672D">
              <w:rPr>
                <w:rFonts w:ascii="Times New Roman" w:hAnsi="Times New Roman" w:cs="Times New Roman"/>
              </w:rPr>
              <w:t>.</w:t>
            </w:r>
          </w:p>
        </w:tc>
        <w:tc>
          <w:tcPr>
            <w:tcW w:w="1588"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Pl</w:t>
            </w:r>
            <w:r w:rsidR="00995D40">
              <w:rPr>
                <w:rFonts w:ascii="Times New Roman" w:hAnsi="Times New Roman" w:cs="Times New Roman"/>
              </w:rPr>
              <w:t>an 2026</w:t>
            </w:r>
            <w:r>
              <w:rPr>
                <w:rFonts w:ascii="Times New Roman" w:hAnsi="Times New Roman" w:cs="Times New Roman"/>
              </w:rPr>
              <w:t>.</w:t>
            </w:r>
          </w:p>
        </w:tc>
        <w:tc>
          <w:tcPr>
            <w:tcW w:w="1588" w:type="dxa"/>
            <w:shd w:val="clear" w:color="auto" w:fill="D9D9D9"/>
            <w:vAlign w:val="center"/>
          </w:tcPr>
          <w:p w:rsidR="007E3BF0" w:rsidRDefault="00995D40">
            <w:pPr>
              <w:jc w:val="both"/>
              <w:rPr>
                <w:rFonts w:ascii="Times New Roman" w:hAnsi="Times New Roman" w:cs="Times New Roman"/>
              </w:rPr>
            </w:pPr>
            <w:r>
              <w:rPr>
                <w:rFonts w:ascii="Times New Roman" w:hAnsi="Times New Roman" w:cs="Times New Roman"/>
              </w:rPr>
              <w:t>Procjena 2027</w:t>
            </w:r>
            <w:r w:rsidR="0015672D">
              <w:rPr>
                <w:rFonts w:ascii="Times New Roman" w:hAnsi="Times New Roman" w:cs="Times New Roman"/>
              </w:rPr>
              <w:t>.</w:t>
            </w:r>
          </w:p>
        </w:tc>
        <w:tc>
          <w:tcPr>
            <w:tcW w:w="1588" w:type="dxa"/>
            <w:shd w:val="clear" w:color="auto" w:fill="D9D9D9"/>
            <w:vAlign w:val="center"/>
          </w:tcPr>
          <w:p w:rsidR="007E3BF0" w:rsidRDefault="00995D40">
            <w:pPr>
              <w:jc w:val="both"/>
              <w:rPr>
                <w:rFonts w:ascii="Times New Roman" w:hAnsi="Times New Roman" w:cs="Times New Roman"/>
              </w:rPr>
            </w:pPr>
            <w:r>
              <w:rPr>
                <w:rFonts w:ascii="Times New Roman" w:hAnsi="Times New Roman" w:cs="Times New Roman"/>
              </w:rPr>
              <w:t>Procjena 2028</w:t>
            </w:r>
            <w:r w:rsidR="0015672D">
              <w:rPr>
                <w:rFonts w:ascii="Times New Roman" w:hAnsi="Times New Roman" w:cs="Times New Roman"/>
              </w:rPr>
              <w:t>.</w:t>
            </w:r>
          </w:p>
        </w:tc>
        <w:tc>
          <w:tcPr>
            <w:tcW w:w="1588" w:type="dxa"/>
            <w:shd w:val="clear" w:color="auto" w:fill="D9D9D9"/>
            <w:vAlign w:val="center"/>
          </w:tcPr>
          <w:p w:rsidR="007E3BF0" w:rsidRDefault="00995D40">
            <w:pPr>
              <w:jc w:val="both"/>
              <w:rPr>
                <w:rFonts w:ascii="Times New Roman" w:hAnsi="Times New Roman" w:cs="Times New Roman"/>
              </w:rPr>
            </w:pPr>
            <w:r>
              <w:rPr>
                <w:rFonts w:ascii="Times New Roman" w:hAnsi="Times New Roman" w:cs="Times New Roman"/>
              </w:rPr>
              <w:t>Indeks 2026/2025</w:t>
            </w:r>
          </w:p>
        </w:tc>
      </w:tr>
      <w:tr w:rsidR="007E3BF0">
        <w:trPr>
          <w:trHeight w:val="400"/>
        </w:trPr>
        <w:tc>
          <w:tcPr>
            <w:tcW w:w="1588" w:type="dxa"/>
            <w:vAlign w:val="center"/>
          </w:tcPr>
          <w:p w:rsidR="007E3BF0" w:rsidRDefault="0015672D">
            <w:pPr>
              <w:jc w:val="both"/>
              <w:rPr>
                <w:rFonts w:ascii="Times New Roman" w:hAnsi="Times New Roman" w:cs="Times New Roman"/>
              </w:rPr>
            </w:pPr>
            <w:r>
              <w:rPr>
                <w:rFonts w:ascii="Times New Roman" w:hAnsi="Times New Roman" w:cs="Times New Roman"/>
              </w:rPr>
              <w:t>2204</w:t>
            </w:r>
          </w:p>
        </w:tc>
        <w:tc>
          <w:tcPr>
            <w:tcW w:w="1588" w:type="dxa"/>
            <w:vAlign w:val="center"/>
          </w:tcPr>
          <w:p w:rsidR="007E3BF0" w:rsidRDefault="0054100B">
            <w:pPr>
              <w:jc w:val="both"/>
              <w:rPr>
                <w:rFonts w:ascii="Times New Roman" w:hAnsi="Times New Roman" w:cs="Times New Roman"/>
              </w:rPr>
            </w:pPr>
            <w:r>
              <w:rPr>
                <w:rFonts w:ascii="Times New Roman" w:hAnsi="Times New Roman" w:cs="Times New Roman"/>
              </w:rPr>
              <w:t>2.346.178,97</w:t>
            </w:r>
          </w:p>
        </w:tc>
        <w:tc>
          <w:tcPr>
            <w:tcW w:w="1588" w:type="dxa"/>
            <w:vAlign w:val="center"/>
          </w:tcPr>
          <w:p w:rsidR="007E3BF0" w:rsidRDefault="0054100B">
            <w:pPr>
              <w:jc w:val="both"/>
              <w:rPr>
                <w:rFonts w:ascii="Times New Roman" w:hAnsi="Times New Roman" w:cs="Times New Roman"/>
              </w:rPr>
            </w:pPr>
            <w:r>
              <w:rPr>
                <w:rFonts w:ascii="Times New Roman" w:hAnsi="Times New Roman" w:cs="Times New Roman"/>
              </w:rPr>
              <w:t>2.476.178,97</w:t>
            </w:r>
          </w:p>
        </w:tc>
        <w:tc>
          <w:tcPr>
            <w:tcW w:w="1588" w:type="dxa"/>
            <w:vAlign w:val="center"/>
          </w:tcPr>
          <w:p w:rsidR="007E3BF0" w:rsidRDefault="0054100B">
            <w:pPr>
              <w:jc w:val="both"/>
              <w:rPr>
                <w:rFonts w:ascii="Times New Roman" w:hAnsi="Times New Roman" w:cs="Times New Roman"/>
                <w:sz w:val="24"/>
                <w:szCs w:val="24"/>
              </w:rPr>
            </w:pPr>
            <w:r>
              <w:rPr>
                <w:rFonts w:ascii="Times New Roman" w:hAnsi="Times New Roman" w:cs="Times New Roman"/>
                <w:sz w:val="24"/>
                <w:szCs w:val="24"/>
              </w:rPr>
              <w:t>2.510.378,97</w:t>
            </w:r>
          </w:p>
        </w:tc>
        <w:tc>
          <w:tcPr>
            <w:tcW w:w="1588" w:type="dxa"/>
            <w:vAlign w:val="center"/>
          </w:tcPr>
          <w:p w:rsidR="007E3BF0" w:rsidRDefault="0054100B">
            <w:pPr>
              <w:jc w:val="both"/>
              <w:rPr>
                <w:rFonts w:ascii="Times New Roman" w:hAnsi="Times New Roman" w:cs="Times New Roman"/>
                <w:sz w:val="24"/>
                <w:szCs w:val="24"/>
              </w:rPr>
            </w:pPr>
            <w:r>
              <w:rPr>
                <w:rFonts w:ascii="Times New Roman" w:hAnsi="Times New Roman" w:cs="Times New Roman"/>
                <w:sz w:val="24"/>
                <w:szCs w:val="24"/>
              </w:rPr>
              <w:t>2.545.091,97</w:t>
            </w:r>
          </w:p>
        </w:tc>
        <w:tc>
          <w:tcPr>
            <w:tcW w:w="1588" w:type="dxa"/>
            <w:vAlign w:val="center"/>
          </w:tcPr>
          <w:p w:rsidR="007E3BF0" w:rsidRDefault="0054100B">
            <w:pPr>
              <w:jc w:val="both"/>
              <w:rPr>
                <w:rFonts w:ascii="Times New Roman" w:hAnsi="Times New Roman" w:cs="Times New Roman"/>
              </w:rPr>
            </w:pPr>
            <w:r>
              <w:rPr>
                <w:rFonts w:ascii="Times New Roman" w:hAnsi="Times New Roman" w:cs="Times New Roman"/>
              </w:rPr>
              <w:t>105,54</w:t>
            </w:r>
          </w:p>
        </w:tc>
      </w:tr>
    </w:tbl>
    <w:p w:rsidR="00663589" w:rsidRDefault="00663589">
      <w:pPr>
        <w:spacing w:line="240" w:lineRule="auto"/>
        <w:rPr>
          <w:rFonts w:ascii="Times New Roman" w:hAnsi="Times New Roman" w:cs="Times New Roman"/>
          <w:b/>
          <w:sz w:val="24"/>
          <w:szCs w:val="24"/>
        </w:rPr>
      </w:pPr>
    </w:p>
    <w:p w:rsidR="007E3BF0" w:rsidRDefault="0015672D">
      <w:pPr>
        <w:spacing w:line="240" w:lineRule="auto"/>
        <w:rPr>
          <w:rFonts w:ascii="Times New Roman" w:hAnsi="Times New Roman" w:cs="Times New Roman"/>
          <w:b/>
          <w:sz w:val="24"/>
          <w:szCs w:val="24"/>
        </w:rPr>
      </w:pPr>
      <w:r>
        <w:rPr>
          <w:rFonts w:ascii="Times New Roman" w:hAnsi="Times New Roman" w:cs="Times New Roman"/>
          <w:b/>
          <w:sz w:val="24"/>
          <w:szCs w:val="24"/>
        </w:rPr>
        <w:t>Opis programa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 „ 2204 - Srednje školstvo-standard“ namijenjen je financiranju temeljnih potreba za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poslovanje Škole. Iz sredstava navedenog programa pokrivaju se materijalni rashodi Škole i</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financiraju plaće i materijalna prava djelatni</w:t>
      </w:r>
      <w:r w:rsidR="00423071">
        <w:rPr>
          <w:rFonts w:ascii="Times New Roman" w:hAnsi="Times New Roman" w:cs="Times New Roman"/>
          <w:sz w:val="24"/>
          <w:szCs w:val="24"/>
        </w:rPr>
        <w:t>ka. Ukupni iznos rashoda za 2026</w:t>
      </w:r>
      <w:r>
        <w:rPr>
          <w:rFonts w:ascii="Times New Roman" w:hAnsi="Times New Roman" w:cs="Times New Roman"/>
          <w:sz w:val="24"/>
          <w:szCs w:val="24"/>
        </w:rPr>
        <w:t xml:space="preserve">.g. planiranih na razini programa iznosi </w:t>
      </w:r>
      <w:r w:rsidR="0054100B">
        <w:rPr>
          <w:rFonts w:ascii="Times New Roman" w:hAnsi="Times New Roman" w:cs="Times New Roman"/>
          <w:sz w:val="24"/>
          <w:szCs w:val="24"/>
        </w:rPr>
        <w:t>2.476.178,97</w:t>
      </w:r>
      <w:r>
        <w:rPr>
          <w:rFonts w:ascii="Times New Roman" w:hAnsi="Times New Roman" w:cs="Times New Roman"/>
          <w:sz w:val="24"/>
          <w:szCs w:val="24"/>
        </w:rPr>
        <w:t xml:space="preserve"> eura.</w:t>
      </w:r>
    </w:p>
    <w:p w:rsidR="007E3BF0" w:rsidRDefault="0015672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Program 2204 provodi se kroz sljedeće aktivnosti:</w:t>
      </w:r>
    </w:p>
    <w:p w:rsidR="007E3BF0" w:rsidRDefault="0015672D">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Aktivnost A2204-01 – Djelatnost srednjih škola</w:t>
      </w:r>
    </w:p>
    <w:p w:rsidR="007E3BF0" w:rsidRDefault="0015672D">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Aktivnost A2204-07 – Administracija i upravljanje</w:t>
      </w:r>
    </w:p>
    <w:p w:rsidR="007E3BF0" w:rsidRDefault="0015672D">
      <w:pPr>
        <w:spacing w:line="240" w:lineRule="auto"/>
        <w:rPr>
          <w:rFonts w:ascii="Times New Roman" w:hAnsi="Times New Roman" w:cs="Times New Roman"/>
          <w:b/>
          <w:sz w:val="24"/>
          <w:szCs w:val="24"/>
        </w:rPr>
      </w:pPr>
      <w:r>
        <w:rPr>
          <w:rFonts w:ascii="Times New Roman" w:hAnsi="Times New Roman" w:cs="Times New Roman"/>
          <w:b/>
          <w:sz w:val="24"/>
          <w:szCs w:val="24"/>
        </w:rPr>
        <w:t>Zakonske i druge pravne osnove</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plaćama u državnoj službi i javnim službama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Temeljni kolektivni ugovor za službenike i namještenike u javnim službama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Upute za izradu prijedloga proračuna i financijskog plana upravnih tijela, proračunskih i izvanproračunskih korisnik</w:t>
      </w:r>
      <w:r w:rsidR="00663589">
        <w:rPr>
          <w:rFonts w:ascii="Times New Roman" w:hAnsi="Times New Roman" w:cs="Times New Roman"/>
          <w:sz w:val="24"/>
          <w:szCs w:val="24"/>
        </w:rPr>
        <w:t>a Zadarske županije za 2026.-2028</w:t>
      </w:r>
      <w:r>
        <w:rPr>
          <w:rFonts w:ascii="Times New Roman" w:hAnsi="Times New Roman" w:cs="Times New Roman"/>
          <w:sz w:val="24"/>
          <w:szCs w:val="24"/>
        </w:rPr>
        <w:t>. godinu</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Odluka o izvršavanju proračuna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Statut Hotelijersko – turističke i ugostiteljske škole Zadar</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proračunu</w:t>
      </w:r>
    </w:p>
    <w:p w:rsidR="007E3BF0" w:rsidRDefault="007E3BF0">
      <w:pPr>
        <w:spacing w:after="0"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Aktivnost A2204-01 – Djelatnost srednjih škola</w:t>
      </w:r>
    </w:p>
    <w:tbl>
      <w:tblPr>
        <w:tblStyle w:val="Reetkatablice"/>
        <w:tblW w:w="9498" w:type="dxa"/>
        <w:tblInd w:w="-147" w:type="dxa"/>
        <w:tblLook w:val="04A0" w:firstRow="1" w:lastRow="0" w:firstColumn="1" w:lastColumn="0" w:noHBand="0" w:noVBand="1"/>
      </w:tblPr>
      <w:tblGrid>
        <w:gridCol w:w="1583"/>
        <w:gridCol w:w="1583"/>
        <w:gridCol w:w="1583"/>
        <w:gridCol w:w="1583"/>
        <w:gridCol w:w="1583"/>
        <w:gridCol w:w="1583"/>
      </w:tblGrid>
      <w:tr w:rsidR="00EB6EF4" w:rsidTr="00995D40">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Šifra aktivnosti/</w:t>
            </w:r>
          </w:p>
          <w:p w:rsidR="00EB6EF4" w:rsidRDefault="00EB6EF4" w:rsidP="00EB6EF4">
            <w:pPr>
              <w:jc w:val="both"/>
              <w:rPr>
                <w:rFonts w:ascii="Times New Roman" w:hAnsi="Times New Roman" w:cs="Times New Roman"/>
              </w:rPr>
            </w:pPr>
            <w:r>
              <w:rPr>
                <w:rFonts w:ascii="Times New Roman" w:hAnsi="Times New Roman" w:cs="Times New Roman"/>
              </w:rPr>
              <w:t>projekta</w:t>
            </w:r>
          </w:p>
        </w:tc>
        <w:tc>
          <w:tcPr>
            <w:tcW w:w="1583" w:type="dxa"/>
            <w:shd w:val="clear" w:color="auto" w:fill="D9D9D9" w:themeFill="background1" w:themeFillShade="D9"/>
            <w:vAlign w:val="center"/>
          </w:tcPr>
          <w:p w:rsidR="00EB6EF4" w:rsidRDefault="00EB6EF4" w:rsidP="00EB6EF4">
            <w:pPr>
              <w:jc w:val="both"/>
              <w:rPr>
                <w:rFonts w:ascii="Times New Roman" w:hAnsi="Times New Roman" w:cs="Times New Roman"/>
              </w:rPr>
            </w:pPr>
            <w:r>
              <w:rPr>
                <w:rFonts w:ascii="Times New Roman" w:hAnsi="Times New Roman" w:cs="Times New Roman"/>
              </w:rPr>
              <w:t>Plan 2025.</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Plan 2026.</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Procjena 2027.</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Procjena 2028.</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Indeks 2026/2025</w:t>
            </w:r>
          </w:p>
        </w:tc>
      </w:tr>
      <w:tr w:rsidR="00323986">
        <w:trPr>
          <w:trHeight w:val="403"/>
        </w:trPr>
        <w:tc>
          <w:tcPr>
            <w:tcW w:w="1583" w:type="dxa"/>
            <w:vAlign w:val="center"/>
          </w:tcPr>
          <w:p w:rsidR="00323986" w:rsidRDefault="00323986" w:rsidP="00323986">
            <w:pPr>
              <w:jc w:val="both"/>
              <w:rPr>
                <w:rFonts w:ascii="Times New Roman" w:hAnsi="Times New Roman" w:cs="Times New Roman"/>
              </w:rPr>
            </w:pPr>
            <w:r>
              <w:rPr>
                <w:rFonts w:ascii="Times New Roman" w:hAnsi="Times New Roman" w:cs="Times New Roman"/>
              </w:rPr>
              <w:t>A2204-01</w:t>
            </w:r>
          </w:p>
        </w:tc>
        <w:tc>
          <w:tcPr>
            <w:tcW w:w="1583" w:type="dxa"/>
            <w:vAlign w:val="center"/>
          </w:tcPr>
          <w:p w:rsidR="00323986" w:rsidRPr="00663589" w:rsidRDefault="00323986" w:rsidP="00323986">
            <w:pPr>
              <w:jc w:val="both"/>
              <w:rPr>
                <w:rFonts w:ascii="Times New Roman" w:hAnsi="Times New Roman" w:cs="Times New Roman"/>
                <w:highlight w:val="yellow"/>
              </w:rPr>
            </w:pPr>
            <w:r w:rsidRPr="00323986">
              <w:rPr>
                <w:rFonts w:ascii="Times New Roman" w:hAnsi="Times New Roman" w:cs="Times New Roman"/>
              </w:rPr>
              <w:t>190.978,97</w:t>
            </w:r>
          </w:p>
        </w:tc>
        <w:tc>
          <w:tcPr>
            <w:tcW w:w="1583" w:type="dxa"/>
            <w:vAlign w:val="center"/>
          </w:tcPr>
          <w:p w:rsidR="00323986" w:rsidRPr="00663589" w:rsidRDefault="00323986" w:rsidP="00323986">
            <w:pPr>
              <w:jc w:val="both"/>
              <w:rPr>
                <w:rFonts w:ascii="Times New Roman" w:hAnsi="Times New Roman" w:cs="Times New Roman"/>
                <w:highlight w:val="yellow"/>
              </w:rPr>
            </w:pPr>
            <w:r w:rsidRPr="00323986">
              <w:rPr>
                <w:rFonts w:ascii="Times New Roman" w:hAnsi="Times New Roman" w:cs="Times New Roman"/>
              </w:rPr>
              <w:t>190.978,97</w:t>
            </w:r>
          </w:p>
        </w:tc>
        <w:tc>
          <w:tcPr>
            <w:tcW w:w="1583" w:type="dxa"/>
            <w:vAlign w:val="center"/>
          </w:tcPr>
          <w:p w:rsidR="00323986" w:rsidRPr="00663589" w:rsidRDefault="00323986" w:rsidP="00323986">
            <w:pPr>
              <w:jc w:val="both"/>
              <w:rPr>
                <w:rFonts w:ascii="Times New Roman" w:hAnsi="Times New Roman" w:cs="Times New Roman"/>
                <w:highlight w:val="yellow"/>
              </w:rPr>
            </w:pPr>
            <w:r w:rsidRPr="00323986">
              <w:rPr>
                <w:rFonts w:ascii="Times New Roman" w:hAnsi="Times New Roman" w:cs="Times New Roman"/>
              </w:rPr>
              <w:t>190.978,97</w:t>
            </w:r>
          </w:p>
        </w:tc>
        <w:tc>
          <w:tcPr>
            <w:tcW w:w="1583" w:type="dxa"/>
            <w:vAlign w:val="center"/>
          </w:tcPr>
          <w:p w:rsidR="00323986" w:rsidRPr="00663589" w:rsidRDefault="00323986" w:rsidP="00323986">
            <w:pPr>
              <w:jc w:val="both"/>
              <w:rPr>
                <w:rFonts w:ascii="Times New Roman" w:hAnsi="Times New Roman" w:cs="Times New Roman"/>
                <w:highlight w:val="yellow"/>
              </w:rPr>
            </w:pPr>
            <w:r w:rsidRPr="00323986">
              <w:rPr>
                <w:rFonts w:ascii="Times New Roman" w:hAnsi="Times New Roman" w:cs="Times New Roman"/>
              </w:rPr>
              <w:t>190.978,97</w:t>
            </w:r>
          </w:p>
        </w:tc>
        <w:tc>
          <w:tcPr>
            <w:tcW w:w="1583" w:type="dxa"/>
            <w:vAlign w:val="center"/>
          </w:tcPr>
          <w:p w:rsidR="00323986" w:rsidRPr="00663589" w:rsidRDefault="00323986" w:rsidP="00323986">
            <w:pPr>
              <w:jc w:val="both"/>
              <w:rPr>
                <w:rFonts w:ascii="Times New Roman" w:hAnsi="Times New Roman" w:cs="Times New Roman"/>
                <w:highlight w:val="yellow"/>
              </w:rPr>
            </w:pPr>
            <w:r w:rsidRPr="00323986">
              <w:rPr>
                <w:rFonts w:ascii="Times New Roman" w:hAnsi="Times New Roman" w:cs="Times New Roman"/>
              </w:rPr>
              <w:t>100,00</w:t>
            </w:r>
          </w:p>
        </w:tc>
      </w:tr>
    </w:tbl>
    <w:p w:rsidR="007E3BF0" w:rsidRDefault="007E3BF0">
      <w:pPr>
        <w:spacing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Opis aktivnosti</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Aktivnost i sredstva namijenjena su financiranju materijalnih rashoda Škole, a koji se sastoje od troška prijevoza zaposlenika s posla i na posao, službena putovanja i usavršavanje zaposlenika, za podmirivanje troška uredskog materijala te materijala za čišćenje i higijenu, komunalne usluge, grijanje, usluge održavanja računala, usluge i materijal za redovno i investicijsko održavanje zgrade i prostorija, osiguranje, članarine i ostali rashodi i izdaci povezani s redovnim radom Škole. </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Rashodi i izdaci za</w:t>
      </w:r>
      <w:r w:rsidR="00663589">
        <w:rPr>
          <w:rFonts w:ascii="Times New Roman" w:hAnsi="Times New Roman" w:cs="Times New Roman"/>
          <w:sz w:val="24"/>
          <w:szCs w:val="24"/>
        </w:rPr>
        <w:t>snivaju se na stanju tekuće 2025</w:t>
      </w:r>
      <w:r>
        <w:rPr>
          <w:rFonts w:ascii="Times New Roman" w:hAnsi="Times New Roman" w:cs="Times New Roman"/>
          <w:sz w:val="24"/>
          <w:szCs w:val="24"/>
        </w:rPr>
        <w:t>. godine te usporedbom s prethodnim godinama i realnoj procjeni plana za sljedeću godinu, no kako za ovu aktivnost Škola dobije  limit koji ne smije prekoračiti sredstva su raspoređena prema mogućnostima. Za naredne tri godine</w:t>
      </w:r>
      <w:r w:rsidR="00935A25">
        <w:rPr>
          <w:rFonts w:ascii="Times New Roman" w:hAnsi="Times New Roman" w:cs="Times New Roman"/>
          <w:sz w:val="24"/>
          <w:szCs w:val="24"/>
        </w:rPr>
        <w:t xml:space="preserve"> limit je isti kao i za 2025</w:t>
      </w:r>
      <w:r>
        <w:rPr>
          <w:rFonts w:ascii="Times New Roman" w:hAnsi="Times New Roman" w:cs="Times New Roman"/>
          <w:sz w:val="24"/>
          <w:szCs w:val="24"/>
        </w:rPr>
        <w:t>. godinu i zbog toga je indeks 100,00.</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b/>
          <w:sz w:val="24"/>
          <w:szCs w:val="24"/>
        </w:rPr>
        <w:t>Svrha provedbe mjere</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Provedbom ove mjere poboljšavaju se uvjeti rada u školi, moderniziraju, održavaju i obnavljaju prostor i oprema te se ulaže u stručno usavršavanje zaposlenih (seminari, stručni skupovi, aktivi), a sve s ciljem podizanja nastavnog standarda na višu razinu.</w:t>
      </w:r>
    </w:p>
    <w:p w:rsidR="007E3BF0" w:rsidRDefault="007E3BF0">
      <w:pPr>
        <w:spacing w:after="0"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Ključne aktivnosti</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Financiranje redovnog rada Škole</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Provedba stručnog osposobljavanja zaposlenika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Održavanje i unaprjeđenje prostorija i opreme Škole</w:t>
      </w:r>
    </w:p>
    <w:p w:rsidR="007E3BF0" w:rsidRDefault="007E3BF0">
      <w:pPr>
        <w:spacing w:after="0"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b/>
          <w:sz w:val="24"/>
          <w:szCs w:val="24"/>
        </w:rPr>
        <w:t>Aktivnost A2204-07 – Administracija i upravljanje</w:t>
      </w:r>
    </w:p>
    <w:tbl>
      <w:tblPr>
        <w:tblStyle w:val="Reetkatablice"/>
        <w:tblW w:w="9498" w:type="dxa"/>
        <w:tblInd w:w="-147" w:type="dxa"/>
        <w:tblLook w:val="04A0" w:firstRow="1" w:lastRow="0" w:firstColumn="1" w:lastColumn="0" w:noHBand="0" w:noVBand="1"/>
      </w:tblPr>
      <w:tblGrid>
        <w:gridCol w:w="1583"/>
        <w:gridCol w:w="1583"/>
        <w:gridCol w:w="1583"/>
        <w:gridCol w:w="1583"/>
        <w:gridCol w:w="1583"/>
        <w:gridCol w:w="1583"/>
      </w:tblGrid>
      <w:tr w:rsidR="00EB6EF4">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Šifra aktivnosti/</w:t>
            </w:r>
          </w:p>
          <w:p w:rsidR="00EB6EF4" w:rsidRDefault="00EB6EF4" w:rsidP="00EB6EF4">
            <w:pPr>
              <w:jc w:val="both"/>
              <w:rPr>
                <w:rFonts w:ascii="Times New Roman" w:hAnsi="Times New Roman" w:cs="Times New Roman"/>
              </w:rPr>
            </w:pPr>
            <w:r>
              <w:rPr>
                <w:rFonts w:ascii="Times New Roman" w:hAnsi="Times New Roman" w:cs="Times New Roman"/>
              </w:rPr>
              <w:t xml:space="preserve">projekta </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Plan 2025.</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Plan 2026.</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Procjena 2027.</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Procjena 2028.</w:t>
            </w:r>
          </w:p>
        </w:tc>
        <w:tc>
          <w:tcPr>
            <w:tcW w:w="1583" w:type="dxa"/>
            <w:shd w:val="clear" w:color="auto" w:fill="D9D9D9"/>
            <w:vAlign w:val="center"/>
          </w:tcPr>
          <w:p w:rsidR="00EB6EF4" w:rsidRDefault="00EB6EF4" w:rsidP="00EB6EF4">
            <w:pPr>
              <w:jc w:val="both"/>
              <w:rPr>
                <w:rFonts w:ascii="Times New Roman" w:hAnsi="Times New Roman" w:cs="Times New Roman"/>
              </w:rPr>
            </w:pPr>
            <w:r>
              <w:rPr>
                <w:rFonts w:ascii="Times New Roman" w:hAnsi="Times New Roman" w:cs="Times New Roman"/>
              </w:rPr>
              <w:t>Indeks 2026/2025</w:t>
            </w:r>
          </w:p>
        </w:tc>
      </w:tr>
      <w:tr w:rsidR="007E3BF0">
        <w:trPr>
          <w:trHeight w:val="403"/>
        </w:trPr>
        <w:tc>
          <w:tcPr>
            <w:tcW w:w="1583" w:type="dxa"/>
            <w:vAlign w:val="center"/>
          </w:tcPr>
          <w:p w:rsidR="007E3BF0" w:rsidRDefault="0015672D">
            <w:pPr>
              <w:jc w:val="both"/>
              <w:rPr>
                <w:rFonts w:ascii="Times New Roman" w:hAnsi="Times New Roman" w:cs="Times New Roman"/>
              </w:rPr>
            </w:pPr>
            <w:r>
              <w:rPr>
                <w:rFonts w:ascii="Times New Roman" w:hAnsi="Times New Roman" w:cs="Times New Roman"/>
              </w:rPr>
              <w:lastRenderedPageBreak/>
              <w:t>2204-07</w:t>
            </w:r>
          </w:p>
        </w:tc>
        <w:tc>
          <w:tcPr>
            <w:tcW w:w="1583" w:type="dxa"/>
            <w:vAlign w:val="center"/>
          </w:tcPr>
          <w:p w:rsidR="007E3BF0" w:rsidRDefault="00935A25">
            <w:pPr>
              <w:jc w:val="both"/>
              <w:rPr>
                <w:rFonts w:ascii="Times New Roman" w:hAnsi="Times New Roman" w:cs="Times New Roman"/>
              </w:rPr>
            </w:pPr>
            <w:r>
              <w:rPr>
                <w:rFonts w:ascii="Times New Roman" w:hAnsi="Times New Roman" w:cs="Times New Roman"/>
              </w:rPr>
              <w:t>2.152.200,00</w:t>
            </w:r>
          </w:p>
        </w:tc>
        <w:tc>
          <w:tcPr>
            <w:tcW w:w="1583" w:type="dxa"/>
            <w:vAlign w:val="center"/>
          </w:tcPr>
          <w:p w:rsidR="007E3BF0" w:rsidRDefault="00935A25">
            <w:pPr>
              <w:jc w:val="both"/>
              <w:rPr>
                <w:rFonts w:ascii="Times New Roman" w:hAnsi="Times New Roman" w:cs="Times New Roman"/>
              </w:rPr>
            </w:pPr>
            <w:r>
              <w:rPr>
                <w:rFonts w:ascii="Times New Roman" w:hAnsi="Times New Roman" w:cs="Times New Roman"/>
              </w:rPr>
              <w:t>2.282</w:t>
            </w:r>
            <w:r w:rsidR="0015672D">
              <w:rPr>
                <w:rFonts w:ascii="Times New Roman" w:hAnsi="Times New Roman" w:cs="Times New Roman"/>
              </w:rPr>
              <w:t>.200,00</w:t>
            </w:r>
          </w:p>
        </w:tc>
        <w:tc>
          <w:tcPr>
            <w:tcW w:w="1583" w:type="dxa"/>
            <w:vAlign w:val="center"/>
          </w:tcPr>
          <w:p w:rsidR="007E3BF0" w:rsidRDefault="00935A25">
            <w:pPr>
              <w:jc w:val="both"/>
              <w:rPr>
                <w:rFonts w:ascii="Times New Roman" w:hAnsi="Times New Roman" w:cs="Times New Roman"/>
              </w:rPr>
            </w:pPr>
            <w:r>
              <w:rPr>
                <w:rFonts w:ascii="Times New Roman" w:hAnsi="Times New Roman" w:cs="Times New Roman"/>
              </w:rPr>
              <w:t>2.316.400</w:t>
            </w:r>
            <w:r w:rsidR="0015672D">
              <w:rPr>
                <w:rFonts w:ascii="Times New Roman" w:hAnsi="Times New Roman" w:cs="Times New Roman"/>
              </w:rPr>
              <w:t>,00</w:t>
            </w:r>
          </w:p>
        </w:tc>
        <w:tc>
          <w:tcPr>
            <w:tcW w:w="1583" w:type="dxa"/>
            <w:vAlign w:val="center"/>
          </w:tcPr>
          <w:p w:rsidR="007E3BF0" w:rsidRDefault="00935A25">
            <w:pPr>
              <w:jc w:val="both"/>
              <w:rPr>
                <w:rFonts w:ascii="Times New Roman" w:hAnsi="Times New Roman" w:cs="Times New Roman"/>
              </w:rPr>
            </w:pPr>
            <w:r>
              <w:rPr>
                <w:rFonts w:ascii="Times New Roman" w:hAnsi="Times New Roman" w:cs="Times New Roman"/>
              </w:rPr>
              <w:t>2.351.113</w:t>
            </w:r>
            <w:r w:rsidR="0015672D">
              <w:rPr>
                <w:rFonts w:ascii="Times New Roman" w:hAnsi="Times New Roman" w:cs="Times New Roman"/>
              </w:rPr>
              <w:t>,00</w:t>
            </w:r>
          </w:p>
        </w:tc>
        <w:tc>
          <w:tcPr>
            <w:tcW w:w="1583" w:type="dxa"/>
            <w:vAlign w:val="center"/>
          </w:tcPr>
          <w:p w:rsidR="007E3BF0" w:rsidRDefault="00935A25">
            <w:pPr>
              <w:jc w:val="both"/>
              <w:rPr>
                <w:rFonts w:ascii="Times New Roman" w:hAnsi="Times New Roman" w:cs="Times New Roman"/>
              </w:rPr>
            </w:pPr>
            <w:r>
              <w:rPr>
                <w:rFonts w:ascii="Times New Roman" w:hAnsi="Times New Roman" w:cs="Times New Roman"/>
              </w:rPr>
              <w:t>106,04</w:t>
            </w:r>
          </w:p>
        </w:tc>
      </w:tr>
    </w:tbl>
    <w:p w:rsidR="007E3BF0" w:rsidRDefault="007E3BF0">
      <w:pPr>
        <w:spacing w:line="240" w:lineRule="auto"/>
        <w:jc w:val="both"/>
        <w:rPr>
          <w:rFonts w:ascii="Times New Roman" w:hAnsi="Times New Roman" w:cs="Times New Roman"/>
          <w:b/>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Opis aktivnosti</w:t>
      </w:r>
    </w:p>
    <w:p w:rsidR="007E3BF0" w:rsidRDefault="0015672D">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Pod aktivnosti Administracija i upravljanje planiraju se sredstva za rashode plaća zaposlenika Škole, doprinosi na plaću, rashodi za materijalna prava koja zaposlenici imaju prema Kolektivnom ugovoru (jubilarne nagrade, otpremnine i ostale rashode) te naknada za nezapošljavanje osoba s invaliditetom. Škola je planirala malo veće prihode i rashode zaposlenih radi očekivanog porasta minimalne plaće, osobnog odbitka i ostalih rashoda zaposlenih (indeks </w:t>
      </w:r>
      <w:r w:rsidR="00935A25">
        <w:rPr>
          <w:rFonts w:ascii="Times New Roman" w:hAnsi="Times New Roman" w:cs="Times New Roman"/>
          <w:sz w:val="24"/>
          <w:szCs w:val="24"/>
        </w:rPr>
        <w:t>106,04</w:t>
      </w:r>
      <w:r>
        <w:rPr>
          <w:rFonts w:ascii="Times New Roman" w:hAnsi="Times New Roman" w:cs="Times New Roman"/>
          <w:sz w:val="24"/>
          <w:szCs w:val="24"/>
        </w:rPr>
        <w:t>).</w:t>
      </w: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Svrha provedbe mjere</w:t>
      </w: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sz w:val="24"/>
          <w:szCs w:val="24"/>
        </w:rPr>
        <w:t>Provedbom ove mjere poboljšavaju se uvjeti rada u školi te se ulaže u stručno usavršavanje zaposlenih, a sve s ciljem podizanja standarda.</w:t>
      </w: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Ključne aktivnosti</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Financiranje </w:t>
      </w:r>
      <w:r w:rsidR="00935A25">
        <w:rPr>
          <w:rFonts w:ascii="Times New Roman" w:hAnsi="Times New Roman" w:cs="Times New Roman"/>
          <w:sz w:val="24"/>
          <w:szCs w:val="24"/>
        </w:rPr>
        <w:t>materijalnih prava zaposlenih</w:t>
      </w:r>
    </w:p>
    <w:p w:rsidR="007E3BF0" w:rsidRDefault="00935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Financiranje </w:t>
      </w:r>
      <w:r w:rsidR="00BA73B3">
        <w:rPr>
          <w:rFonts w:ascii="Times New Roman" w:hAnsi="Times New Roman" w:cs="Times New Roman"/>
          <w:sz w:val="24"/>
          <w:szCs w:val="24"/>
        </w:rPr>
        <w:t>plaća zaposlenih</w:t>
      </w:r>
    </w:p>
    <w:p w:rsidR="007E3BF0" w:rsidRDefault="007E3BF0">
      <w:pPr>
        <w:spacing w:line="240" w:lineRule="auto"/>
        <w:jc w:val="both"/>
        <w:rPr>
          <w:rFonts w:ascii="Times New Roman" w:hAnsi="Times New Roman" w:cs="Times New Roman"/>
          <w:b/>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Program 2205 – srednje školstvo – iznad standarda</w:t>
      </w:r>
    </w:p>
    <w:tbl>
      <w:tblPr>
        <w:tblStyle w:val="Reetkatablice"/>
        <w:tblW w:w="9498" w:type="dxa"/>
        <w:tblInd w:w="-147" w:type="dxa"/>
        <w:tblLook w:val="04A0" w:firstRow="1" w:lastRow="0" w:firstColumn="1" w:lastColumn="0" w:noHBand="0" w:noVBand="1"/>
      </w:tblPr>
      <w:tblGrid>
        <w:gridCol w:w="1583"/>
        <w:gridCol w:w="1583"/>
        <w:gridCol w:w="1583"/>
        <w:gridCol w:w="1583"/>
        <w:gridCol w:w="1583"/>
        <w:gridCol w:w="1583"/>
      </w:tblGrid>
      <w:tr w:rsidR="00BA73B3">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Šifra aktivnosti/</w:t>
            </w:r>
          </w:p>
          <w:p w:rsidR="00BA73B3" w:rsidRDefault="00BA73B3" w:rsidP="00BA73B3">
            <w:pPr>
              <w:jc w:val="both"/>
              <w:rPr>
                <w:rFonts w:ascii="Times New Roman" w:hAnsi="Times New Roman" w:cs="Times New Roman"/>
              </w:rPr>
            </w:pPr>
            <w:r>
              <w:rPr>
                <w:rFonts w:ascii="Times New Roman" w:hAnsi="Times New Roman" w:cs="Times New Roman"/>
              </w:rPr>
              <w:t xml:space="preserve">projekta </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Plan 2025.</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Plan 2026.</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Procjena 2027.</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Procjena 2028.</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Indeks 2026/2025</w:t>
            </w:r>
          </w:p>
        </w:tc>
      </w:tr>
      <w:tr w:rsidR="007E3BF0">
        <w:trPr>
          <w:trHeight w:val="403"/>
        </w:trPr>
        <w:tc>
          <w:tcPr>
            <w:tcW w:w="1583" w:type="dxa"/>
            <w:vAlign w:val="center"/>
          </w:tcPr>
          <w:p w:rsidR="007E3BF0" w:rsidRDefault="0015672D">
            <w:pPr>
              <w:jc w:val="both"/>
              <w:rPr>
                <w:rFonts w:ascii="Times New Roman" w:hAnsi="Times New Roman" w:cs="Times New Roman"/>
              </w:rPr>
            </w:pPr>
            <w:r>
              <w:rPr>
                <w:rFonts w:ascii="Times New Roman" w:hAnsi="Times New Roman" w:cs="Times New Roman"/>
              </w:rPr>
              <w:t>2205</w:t>
            </w:r>
          </w:p>
        </w:tc>
        <w:tc>
          <w:tcPr>
            <w:tcW w:w="1583" w:type="dxa"/>
            <w:vAlign w:val="center"/>
          </w:tcPr>
          <w:p w:rsidR="007E3BF0" w:rsidRDefault="00BA73B3">
            <w:pPr>
              <w:jc w:val="both"/>
              <w:rPr>
                <w:rFonts w:ascii="Times New Roman" w:hAnsi="Times New Roman" w:cs="Times New Roman"/>
              </w:rPr>
            </w:pPr>
            <w:r>
              <w:rPr>
                <w:rFonts w:ascii="Times New Roman" w:hAnsi="Times New Roman" w:cs="Times New Roman"/>
              </w:rPr>
              <w:t>88.626,31</w:t>
            </w:r>
          </w:p>
        </w:tc>
        <w:tc>
          <w:tcPr>
            <w:tcW w:w="1583" w:type="dxa"/>
            <w:vAlign w:val="center"/>
          </w:tcPr>
          <w:p w:rsidR="007E3BF0" w:rsidRDefault="00BA73B3">
            <w:pPr>
              <w:jc w:val="both"/>
              <w:rPr>
                <w:rFonts w:ascii="Times New Roman" w:hAnsi="Times New Roman" w:cs="Times New Roman"/>
              </w:rPr>
            </w:pPr>
            <w:r>
              <w:rPr>
                <w:rFonts w:ascii="Times New Roman" w:hAnsi="Times New Roman" w:cs="Times New Roman"/>
              </w:rPr>
              <w:t>68.000,00</w:t>
            </w:r>
          </w:p>
        </w:tc>
        <w:tc>
          <w:tcPr>
            <w:tcW w:w="1583" w:type="dxa"/>
            <w:vAlign w:val="center"/>
          </w:tcPr>
          <w:p w:rsidR="007E3BF0" w:rsidRDefault="00BA73B3">
            <w:pPr>
              <w:jc w:val="both"/>
              <w:rPr>
                <w:rFonts w:ascii="Times New Roman" w:hAnsi="Times New Roman" w:cs="Times New Roman"/>
              </w:rPr>
            </w:pPr>
            <w:r>
              <w:rPr>
                <w:rFonts w:ascii="Times New Roman" w:hAnsi="Times New Roman" w:cs="Times New Roman"/>
              </w:rPr>
              <w:t>43.340,50</w:t>
            </w:r>
          </w:p>
        </w:tc>
        <w:tc>
          <w:tcPr>
            <w:tcW w:w="1583" w:type="dxa"/>
            <w:vAlign w:val="center"/>
          </w:tcPr>
          <w:p w:rsidR="007E3BF0" w:rsidRDefault="00BA73B3">
            <w:pPr>
              <w:jc w:val="both"/>
              <w:rPr>
                <w:rFonts w:ascii="Times New Roman" w:hAnsi="Times New Roman" w:cs="Times New Roman"/>
              </w:rPr>
            </w:pPr>
            <w:r>
              <w:rPr>
                <w:rFonts w:ascii="Times New Roman" w:hAnsi="Times New Roman" w:cs="Times New Roman"/>
              </w:rPr>
              <w:t>43.990,64</w:t>
            </w:r>
          </w:p>
        </w:tc>
        <w:tc>
          <w:tcPr>
            <w:tcW w:w="1583" w:type="dxa"/>
            <w:vAlign w:val="center"/>
          </w:tcPr>
          <w:p w:rsidR="007E3BF0" w:rsidRDefault="00BA73B3">
            <w:pPr>
              <w:jc w:val="both"/>
              <w:rPr>
                <w:rFonts w:ascii="Times New Roman" w:hAnsi="Times New Roman" w:cs="Times New Roman"/>
              </w:rPr>
            </w:pPr>
            <w:r>
              <w:rPr>
                <w:rFonts w:ascii="Times New Roman" w:hAnsi="Times New Roman" w:cs="Times New Roman"/>
              </w:rPr>
              <w:t>76,73</w:t>
            </w:r>
          </w:p>
        </w:tc>
      </w:tr>
    </w:tbl>
    <w:p w:rsidR="007E3BF0" w:rsidRDefault="007E3BF0">
      <w:pPr>
        <w:spacing w:line="240" w:lineRule="auto"/>
        <w:jc w:val="both"/>
        <w:rPr>
          <w:rFonts w:ascii="Times New Roman" w:hAnsi="Times New Roman" w:cs="Times New Roman"/>
          <w:b/>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Program „ 2205 - Srednje školstvo – iznad standarda“ namijenjen je za podizanje kvalitete obrazovanja i materijalnih uvjeta Škole. Kroz navedeni program nastoji se podići nastavni standard na višu razinu, uključiti učenike u što više aktivnosti, motivirati i povećati sposobnosti učenika njihovim sudjelovanjem i radom.</w:t>
      </w:r>
      <w:r>
        <w:cr/>
      </w:r>
      <w:r>
        <w:rPr>
          <w:rFonts w:ascii="Times New Roman" w:hAnsi="Times New Roman" w:cs="Times New Roman"/>
          <w:sz w:val="24"/>
          <w:szCs w:val="24"/>
        </w:rPr>
        <w:t>Program 2205 provodi se kroz više aktivnosti, kao što su Javne potrebe u prosvjeti, Natjecanja i smotre, Projekt e-škole i slično i za njih sredstva planiraju nadležni upravni odjel, a samo za sljedeću aktivnost prihode i rashode planira Škola u svom financijskom planu:</w:t>
      </w:r>
    </w:p>
    <w:p w:rsidR="007E3BF0" w:rsidRDefault="0015672D">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A2205-12 – Podizanje kvalitete i standarda u školstvu</w:t>
      </w:r>
    </w:p>
    <w:p w:rsidR="007E3BF0" w:rsidRDefault="007E3BF0">
      <w:pPr>
        <w:spacing w:after="0" w:line="240" w:lineRule="auto"/>
        <w:jc w:val="both"/>
        <w:rPr>
          <w:rFonts w:ascii="Times New Roman" w:hAnsi="Times New Roman" w:cs="Times New Roman"/>
          <w:sz w:val="24"/>
          <w:szCs w:val="24"/>
        </w:rPr>
      </w:pPr>
    </w:p>
    <w:p w:rsidR="007E3BF0" w:rsidRDefault="001567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Zakonske i druge pravne osnove</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Pravilnik o proračunskim klasifikacijama </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proračunskom računovodstvu i računskom planu</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kurikulum</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plan i program</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ustanovama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proračunu</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odgoju i obrazovanju</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Odluka o uvjetima, kriterijima i postupku za davanje u zakup i privremeno korištenje prostora i opreme u školskim ustanovama Zadarske županije</w:t>
      </w:r>
    </w:p>
    <w:p w:rsidR="007E3BF0" w:rsidRDefault="007E3BF0">
      <w:pPr>
        <w:spacing w:after="0" w:line="240" w:lineRule="auto"/>
        <w:jc w:val="both"/>
        <w:rPr>
          <w:rFonts w:ascii="Times New Roman" w:hAnsi="Times New Roman" w:cs="Times New Roman"/>
          <w:sz w:val="24"/>
          <w:szCs w:val="24"/>
        </w:rPr>
      </w:pPr>
    </w:p>
    <w:p w:rsidR="007E3BF0" w:rsidRDefault="001567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A2205-12 - Podizanje kvalitete i standarda u školstvu</w:t>
      </w:r>
    </w:p>
    <w:p w:rsidR="007E3BF0" w:rsidRDefault="007E3BF0">
      <w:pPr>
        <w:spacing w:after="0" w:line="240" w:lineRule="auto"/>
        <w:jc w:val="both"/>
        <w:rPr>
          <w:rFonts w:ascii="Times New Roman" w:hAnsi="Times New Roman" w:cs="Times New Roman"/>
          <w:b/>
          <w:sz w:val="24"/>
          <w:szCs w:val="24"/>
        </w:rPr>
      </w:pPr>
    </w:p>
    <w:tbl>
      <w:tblPr>
        <w:tblStyle w:val="Reetkatablice"/>
        <w:tblW w:w="9498" w:type="dxa"/>
        <w:tblInd w:w="-147" w:type="dxa"/>
        <w:tblLook w:val="04A0" w:firstRow="1" w:lastRow="0" w:firstColumn="1" w:lastColumn="0" w:noHBand="0" w:noVBand="1"/>
      </w:tblPr>
      <w:tblGrid>
        <w:gridCol w:w="1583"/>
        <w:gridCol w:w="1583"/>
        <w:gridCol w:w="1583"/>
        <w:gridCol w:w="1583"/>
        <w:gridCol w:w="1583"/>
        <w:gridCol w:w="1583"/>
      </w:tblGrid>
      <w:tr w:rsidR="00BA73B3">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Šifra aktivnosti/</w:t>
            </w:r>
          </w:p>
          <w:p w:rsidR="00BA73B3" w:rsidRDefault="00BA73B3" w:rsidP="00BA73B3">
            <w:pPr>
              <w:jc w:val="both"/>
              <w:rPr>
                <w:rFonts w:ascii="Times New Roman" w:hAnsi="Times New Roman" w:cs="Times New Roman"/>
              </w:rPr>
            </w:pPr>
            <w:r>
              <w:rPr>
                <w:rFonts w:ascii="Times New Roman" w:hAnsi="Times New Roman" w:cs="Times New Roman"/>
              </w:rPr>
              <w:t xml:space="preserve">projekta </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Plan 2025.</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Plan 2026.</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Procjena 2027.</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Procjena 2028.</w:t>
            </w:r>
          </w:p>
        </w:tc>
        <w:tc>
          <w:tcPr>
            <w:tcW w:w="1583" w:type="dxa"/>
            <w:shd w:val="clear" w:color="auto" w:fill="D9D9D9"/>
            <w:vAlign w:val="center"/>
          </w:tcPr>
          <w:p w:rsidR="00BA73B3" w:rsidRDefault="00BA73B3" w:rsidP="00BA73B3">
            <w:pPr>
              <w:jc w:val="both"/>
              <w:rPr>
                <w:rFonts w:ascii="Times New Roman" w:hAnsi="Times New Roman" w:cs="Times New Roman"/>
              </w:rPr>
            </w:pPr>
            <w:r>
              <w:rPr>
                <w:rFonts w:ascii="Times New Roman" w:hAnsi="Times New Roman" w:cs="Times New Roman"/>
              </w:rPr>
              <w:t>Indeks 2026/2025</w:t>
            </w:r>
          </w:p>
        </w:tc>
      </w:tr>
      <w:tr w:rsidR="00BA73B3">
        <w:trPr>
          <w:trHeight w:val="403"/>
        </w:trPr>
        <w:tc>
          <w:tcPr>
            <w:tcW w:w="1583" w:type="dxa"/>
            <w:vAlign w:val="center"/>
          </w:tcPr>
          <w:p w:rsidR="00BA73B3" w:rsidRDefault="00BA73B3" w:rsidP="00BA73B3">
            <w:pPr>
              <w:jc w:val="both"/>
              <w:rPr>
                <w:rFonts w:ascii="Times New Roman" w:hAnsi="Times New Roman" w:cs="Times New Roman"/>
              </w:rPr>
            </w:pPr>
            <w:r>
              <w:rPr>
                <w:rFonts w:ascii="Times New Roman" w:hAnsi="Times New Roman" w:cs="Times New Roman"/>
              </w:rPr>
              <w:t>A2205-01</w:t>
            </w:r>
          </w:p>
        </w:tc>
        <w:tc>
          <w:tcPr>
            <w:tcW w:w="1583" w:type="dxa"/>
            <w:vAlign w:val="center"/>
          </w:tcPr>
          <w:p w:rsidR="00BA73B3" w:rsidRDefault="00BA73B3" w:rsidP="00BA73B3">
            <w:pPr>
              <w:jc w:val="both"/>
              <w:rPr>
                <w:rFonts w:ascii="Times New Roman" w:hAnsi="Times New Roman" w:cs="Times New Roman"/>
              </w:rPr>
            </w:pPr>
            <w:r>
              <w:rPr>
                <w:rFonts w:ascii="Times New Roman" w:hAnsi="Times New Roman" w:cs="Times New Roman"/>
              </w:rPr>
              <w:t>88.626,31</w:t>
            </w:r>
          </w:p>
        </w:tc>
        <w:tc>
          <w:tcPr>
            <w:tcW w:w="1583" w:type="dxa"/>
            <w:vAlign w:val="center"/>
          </w:tcPr>
          <w:p w:rsidR="00BA73B3" w:rsidRDefault="00BA73B3" w:rsidP="00BA73B3">
            <w:pPr>
              <w:jc w:val="both"/>
              <w:rPr>
                <w:rFonts w:ascii="Times New Roman" w:hAnsi="Times New Roman" w:cs="Times New Roman"/>
              </w:rPr>
            </w:pPr>
            <w:r>
              <w:rPr>
                <w:rFonts w:ascii="Times New Roman" w:hAnsi="Times New Roman" w:cs="Times New Roman"/>
              </w:rPr>
              <w:t>68.000,00</w:t>
            </w:r>
          </w:p>
        </w:tc>
        <w:tc>
          <w:tcPr>
            <w:tcW w:w="1583" w:type="dxa"/>
            <w:vAlign w:val="center"/>
          </w:tcPr>
          <w:p w:rsidR="00BA73B3" w:rsidRDefault="00BA73B3" w:rsidP="00BA73B3">
            <w:pPr>
              <w:jc w:val="both"/>
              <w:rPr>
                <w:rFonts w:ascii="Times New Roman" w:hAnsi="Times New Roman" w:cs="Times New Roman"/>
              </w:rPr>
            </w:pPr>
            <w:r>
              <w:rPr>
                <w:rFonts w:ascii="Times New Roman" w:hAnsi="Times New Roman" w:cs="Times New Roman"/>
              </w:rPr>
              <w:t>43.340,50</w:t>
            </w:r>
          </w:p>
        </w:tc>
        <w:tc>
          <w:tcPr>
            <w:tcW w:w="1583" w:type="dxa"/>
            <w:vAlign w:val="center"/>
          </w:tcPr>
          <w:p w:rsidR="00BA73B3" w:rsidRDefault="00BA73B3" w:rsidP="00BA73B3">
            <w:pPr>
              <w:jc w:val="both"/>
              <w:rPr>
                <w:rFonts w:ascii="Times New Roman" w:hAnsi="Times New Roman" w:cs="Times New Roman"/>
              </w:rPr>
            </w:pPr>
            <w:r>
              <w:rPr>
                <w:rFonts w:ascii="Times New Roman" w:hAnsi="Times New Roman" w:cs="Times New Roman"/>
              </w:rPr>
              <w:t>43.990,64</w:t>
            </w:r>
          </w:p>
        </w:tc>
        <w:tc>
          <w:tcPr>
            <w:tcW w:w="1583" w:type="dxa"/>
            <w:vAlign w:val="center"/>
          </w:tcPr>
          <w:p w:rsidR="00BA73B3" w:rsidRDefault="00BA73B3" w:rsidP="00BA73B3">
            <w:pPr>
              <w:jc w:val="both"/>
              <w:rPr>
                <w:rFonts w:ascii="Times New Roman" w:hAnsi="Times New Roman" w:cs="Times New Roman"/>
              </w:rPr>
            </w:pPr>
            <w:r>
              <w:rPr>
                <w:rFonts w:ascii="Times New Roman" w:hAnsi="Times New Roman" w:cs="Times New Roman"/>
              </w:rPr>
              <w:t>76,73</w:t>
            </w:r>
          </w:p>
        </w:tc>
      </w:tr>
    </w:tbl>
    <w:p w:rsidR="007E3BF0" w:rsidRDefault="007E3BF0">
      <w:pPr>
        <w:spacing w:after="0" w:line="240" w:lineRule="auto"/>
        <w:jc w:val="both"/>
        <w:rPr>
          <w:rFonts w:ascii="Times New Roman" w:hAnsi="Times New Roman" w:cs="Times New Roman"/>
          <w:b/>
          <w:sz w:val="24"/>
          <w:szCs w:val="24"/>
        </w:rPr>
      </w:pPr>
    </w:p>
    <w:p w:rsidR="007E3BF0" w:rsidRDefault="001567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Opis aktivnosti </w:t>
      </w:r>
    </w:p>
    <w:p w:rsidR="007E3BF0" w:rsidRDefault="007E3BF0">
      <w:pPr>
        <w:spacing w:after="0" w:line="240" w:lineRule="auto"/>
        <w:jc w:val="both"/>
        <w:rPr>
          <w:rFonts w:ascii="Times New Roman" w:hAnsi="Times New Roman" w:cs="Times New Roman"/>
          <w:b/>
          <w:sz w:val="24"/>
          <w:szCs w:val="24"/>
        </w:rPr>
      </w:pP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Kroz aktivnost A2205 škola ostvaruje prihode obavljanjem poslova na tržištu, a to su: namjenski prihodi: izdavanje duplikata svjedodžbi, vlastit prihodi: najam dvorane, najam prostora za tople napitke, pružanje usluga cateringa za različite prigode ili najam praktikuma za polaganje majstorskih ispita. Novčana sredstva uplaćuju se na jedinstveni račun Zadarske županije, što je definirano čl. 60 Zakona o Proračunu (NN 87/08, 136/12, 15/15, 144/21). Kroz sustav Županijske riznice osigurani su svi podaci na temelju kojih se prati ostvarivanje planiranih prihoda i rashoda. Ukoliko se ne utroše sva sredstva, napravit će se plan uravnoteženja, a višak ostvarenog prihoda rasporedit će se u iduću proračunsku godinu. Sva sredstva Škole troše se zakonski i namjenski i koriste se za unaprjeđenje nastavno – obrazovnog procesa, administrativnih procesa te redovnog i izvanrednog održavanja prostora unutar i van Škole.</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planirana su sredstva iz Državnog proračuna, odnosno pomoći iz Ministarstva znanosti i obrazovanja, na temelju uplata iz prethodnih godina, a za primjerice besplatne udžbenike učenicima slabijeg socio-ekonomskog statusa, naknadu za prijevoz učenicima s posebnim potreba, novčana sredstva za opremanje knjižnica (lektire, stručna i nastavna literatura) i drugo.</w:t>
      </w:r>
    </w:p>
    <w:p w:rsidR="007E3BF0" w:rsidRDefault="007E3BF0">
      <w:pPr>
        <w:spacing w:after="0" w:line="240" w:lineRule="auto"/>
        <w:jc w:val="both"/>
        <w:rPr>
          <w:rFonts w:ascii="Times New Roman" w:hAnsi="Times New Roman" w:cs="Times New Roman"/>
          <w:sz w:val="24"/>
          <w:szCs w:val="24"/>
        </w:rPr>
      </w:pP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 planirala rash</w:t>
      </w:r>
      <w:r w:rsidR="00BA73B3">
        <w:rPr>
          <w:rFonts w:ascii="Times New Roman" w:hAnsi="Times New Roman" w:cs="Times New Roman"/>
          <w:sz w:val="24"/>
          <w:szCs w:val="24"/>
        </w:rPr>
        <w:t>ode na razini aktivnosti za 2026. godinu u iznosu od 68.000</w:t>
      </w:r>
      <w:r>
        <w:rPr>
          <w:rFonts w:ascii="Times New Roman" w:hAnsi="Times New Roman" w:cs="Times New Roman"/>
          <w:sz w:val="24"/>
          <w:szCs w:val="24"/>
        </w:rPr>
        <w:t xml:space="preserve">,00 eura, u </w:t>
      </w:r>
      <w:r w:rsidR="00BA73B3">
        <w:rPr>
          <w:rFonts w:ascii="Times New Roman" w:hAnsi="Times New Roman" w:cs="Times New Roman"/>
          <w:sz w:val="24"/>
          <w:szCs w:val="24"/>
        </w:rPr>
        <w:t>manjem</w:t>
      </w:r>
      <w:r>
        <w:rPr>
          <w:rFonts w:ascii="Times New Roman" w:hAnsi="Times New Roman" w:cs="Times New Roman"/>
          <w:sz w:val="24"/>
          <w:szCs w:val="24"/>
        </w:rPr>
        <w:t xml:space="preserve"> iznosu </w:t>
      </w:r>
      <w:r w:rsidR="00BA73B3">
        <w:rPr>
          <w:rFonts w:ascii="Times New Roman" w:hAnsi="Times New Roman" w:cs="Times New Roman"/>
          <w:sz w:val="24"/>
          <w:szCs w:val="24"/>
        </w:rPr>
        <w:t>u odnosu na 2025</w:t>
      </w:r>
      <w:r>
        <w:rPr>
          <w:rFonts w:ascii="Times New Roman" w:hAnsi="Times New Roman" w:cs="Times New Roman"/>
          <w:sz w:val="24"/>
          <w:szCs w:val="24"/>
        </w:rPr>
        <w:t>. godinu jer je planiran</w:t>
      </w:r>
      <w:r w:rsidR="00BA73B3">
        <w:rPr>
          <w:rFonts w:ascii="Times New Roman" w:hAnsi="Times New Roman" w:cs="Times New Roman"/>
          <w:sz w:val="24"/>
          <w:szCs w:val="24"/>
        </w:rPr>
        <w:t>o</w:t>
      </w:r>
      <w:r>
        <w:rPr>
          <w:rFonts w:ascii="Times New Roman" w:hAnsi="Times New Roman" w:cs="Times New Roman"/>
          <w:sz w:val="24"/>
          <w:szCs w:val="24"/>
        </w:rPr>
        <w:t xml:space="preserve"> </w:t>
      </w:r>
      <w:r w:rsidR="00BA73B3">
        <w:rPr>
          <w:rFonts w:ascii="Times New Roman" w:hAnsi="Times New Roman" w:cs="Times New Roman"/>
          <w:sz w:val="24"/>
          <w:szCs w:val="24"/>
        </w:rPr>
        <w:t>prenijeti manji višak prihoda u 2026. godinu nego što je preneseno viška prihoda u 2025. godinu.</w:t>
      </w:r>
      <w:r>
        <w:rPr>
          <w:rFonts w:ascii="Times New Roman" w:hAnsi="Times New Roman" w:cs="Times New Roman"/>
          <w:sz w:val="24"/>
          <w:szCs w:val="24"/>
        </w:rPr>
        <w:t xml:space="preserve"> (indeks </w:t>
      </w:r>
      <w:r w:rsidR="00BA73B3">
        <w:rPr>
          <w:rFonts w:ascii="Times New Roman" w:hAnsi="Times New Roman" w:cs="Times New Roman"/>
          <w:sz w:val="24"/>
          <w:szCs w:val="24"/>
        </w:rPr>
        <w:t>76,73</w:t>
      </w:r>
      <w:r>
        <w:rPr>
          <w:rFonts w:ascii="Times New Roman" w:hAnsi="Times New Roman" w:cs="Times New Roman"/>
          <w:sz w:val="24"/>
          <w:szCs w:val="24"/>
        </w:rPr>
        <w:t>).</w:t>
      </w:r>
    </w:p>
    <w:p w:rsidR="007E3BF0" w:rsidRDefault="007E3BF0">
      <w:pPr>
        <w:spacing w:after="0"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Svrha provedbe mjere</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Poboljšanje uvjeta rada za učenike i zaposlenike, modernizacija prostora i opreme, podizanje standarda ulaganjem u razvoj i stručno osposobljavanje zaposlenih. Prijevoz djece s posebnim potrebama te opremanje knjižnice obveznom građom.</w:t>
      </w:r>
    </w:p>
    <w:p w:rsidR="007E3BF0" w:rsidRDefault="0015672D">
      <w:pPr>
        <w:spacing w:line="240" w:lineRule="auto"/>
        <w:jc w:val="both"/>
        <w:rPr>
          <w:rFonts w:ascii="Times New Roman" w:hAnsi="Times New Roman" w:cs="Times New Roman"/>
          <w:b/>
          <w:sz w:val="24"/>
          <w:szCs w:val="24"/>
        </w:rPr>
      </w:pPr>
      <w:r>
        <w:rPr>
          <w:rFonts w:ascii="Times New Roman" w:hAnsi="Times New Roman" w:cs="Times New Roman"/>
          <w:b/>
          <w:sz w:val="24"/>
          <w:szCs w:val="24"/>
        </w:rPr>
        <w:t>Ključne aktivnosti</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Sufinanciranje redovnog rada Škole</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i provedba projekata unaprjeđenja opremljenosti školske knjižnice, učionica i praktikuma</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Financiranje prijevoza djece s posebnim potrebama</w:t>
      </w:r>
    </w:p>
    <w:p w:rsidR="007E3BF0" w:rsidRDefault="007E3BF0">
      <w:pPr>
        <w:spacing w:line="240" w:lineRule="auto"/>
        <w:jc w:val="both"/>
        <w:rPr>
          <w:rFonts w:ascii="Times New Roman" w:hAnsi="Times New Roman" w:cs="Times New Roman"/>
          <w:sz w:val="24"/>
          <w:szCs w:val="24"/>
        </w:rPr>
      </w:pP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sudjeluje i u programu 4306 – Nacionalni EU projekti s projektom T4301-67 –Inkluzija – korak bliže društvu bez prepreka, u  kojem se osiguravanju sredstva za plaće pomoćnika u nastavi s ciljem pružanja potpore uključivanju učenika s teškoćama u razvoju u njima primjerene programe odgoja i obrazovanja u osnovnoškolskim i srednjoškolskim odgojno – obrazovnim ustanovama. Za navedeni projekt Škola ne radi plan, jer je za njegovo planiranje zadužena vanjska Agencija.</w:t>
      </w:r>
    </w:p>
    <w:p w:rsidR="007E3BF0" w:rsidRDefault="007E3BF0">
      <w:pPr>
        <w:spacing w:after="0"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Izvori sredstava za financiranje rada Škole su:</w:t>
      </w:r>
    </w:p>
    <w:p w:rsidR="007E3BF0" w:rsidRDefault="0015672D">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Skupina 636 - pomoći proračunskim korisnicima iz proračuna koji im nije nadležan – financiranje plaća i doprinosa zaposlenih, prijevoz djece s posebnim potrebama, lektire, troškove sudskih pristojbi, naknade članovima povjerenstava i troškova za voditelje županijskog stručnog vijeća</w:t>
      </w:r>
    </w:p>
    <w:p w:rsidR="007E3BF0" w:rsidRDefault="0015672D">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Skupina 652 – prihodi po posebnim propisima – prihodi od duplikata svjedodžbi</w:t>
      </w:r>
    </w:p>
    <w:p w:rsidR="007E3BF0" w:rsidRDefault="0015672D">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Skupina 661 – prihodi od prodaje proizvoda i robe te pruženih usluga – prihodi od usluga cateringa te iznajmljivanja školske dvorane, praktikuma i sl.</w:t>
      </w:r>
    </w:p>
    <w:p w:rsidR="007E3BF0" w:rsidRDefault="0015672D">
      <w:pPr>
        <w:pStyle w:val="Odlomakpopisa"/>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Skupina 663 – donacije – prihod od donacija od različitih fizičkih i pravnih osoba kojima Škola pomaže u organizaciji </w:t>
      </w:r>
      <w:r>
        <w:rPr>
          <w:rFonts w:ascii="Times New Roman" w:hAnsi="Times New Roman" w:cs="Times New Roman"/>
          <w:i/>
          <w:sz w:val="24"/>
          <w:szCs w:val="24"/>
        </w:rPr>
        <w:t xml:space="preserve">Tuna, sushi &amp; wine festivala </w:t>
      </w:r>
    </w:p>
    <w:p w:rsidR="007E3BF0" w:rsidRDefault="0015672D">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Skupina 671 – prihodi od nadležnog proračuna - županijski proračun za materijalne troškove poslovanja te održavanje i obnovu nefinancijske imovine</w:t>
      </w:r>
    </w:p>
    <w:p w:rsidR="007E3BF0" w:rsidRDefault="007E3BF0">
      <w:pPr>
        <w:spacing w:after="0" w:line="240" w:lineRule="auto"/>
        <w:ind w:left="360"/>
        <w:jc w:val="both"/>
        <w:rPr>
          <w:rFonts w:ascii="Times New Roman" w:hAnsi="Times New Roman" w:cs="Times New Roman"/>
          <w:sz w:val="24"/>
          <w:szCs w:val="24"/>
        </w:rPr>
      </w:pP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Procjenjuje se kako će prihodi u sljedećem razdoblju biti uvećati za </w:t>
      </w:r>
      <w:r w:rsidR="00BA73B3">
        <w:rPr>
          <w:rFonts w:ascii="Times New Roman" w:hAnsi="Times New Roman" w:cs="Times New Roman"/>
          <w:sz w:val="24"/>
          <w:szCs w:val="24"/>
        </w:rPr>
        <w:t xml:space="preserve">5,58 </w:t>
      </w:r>
      <w:r>
        <w:rPr>
          <w:rFonts w:ascii="Times New Roman" w:hAnsi="Times New Roman" w:cs="Times New Roman"/>
          <w:sz w:val="24"/>
          <w:szCs w:val="24"/>
        </w:rPr>
        <w:t>% u odnosu na Nacrt</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prijedloga Izmjena i dopuna proračuna i financijskih planova upravnih tijela, proračunskih i izvanproračunskih kor</w:t>
      </w:r>
      <w:r w:rsidR="00BA73B3">
        <w:rPr>
          <w:rFonts w:ascii="Times New Roman" w:hAnsi="Times New Roman" w:cs="Times New Roman"/>
          <w:sz w:val="24"/>
          <w:szCs w:val="24"/>
        </w:rPr>
        <w:t>isnika Zadarske županije za 2025</w:t>
      </w:r>
      <w:r>
        <w:rPr>
          <w:rFonts w:ascii="Times New Roman" w:hAnsi="Times New Roman" w:cs="Times New Roman"/>
          <w:sz w:val="24"/>
          <w:szCs w:val="24"/>
        </w:rPr>
        <w:t>. godinu jer se planira povećanje prihoda za plaće d</w:t>
      </w:r>
      <w:r w:rsidR="00BA73B3">
        <w:rPr>
          <w:rFonts w:ascii="Times New Roman" w:hAnsi="Times New Roman" w:cs="Times New Roman"/>
          <w:sz w:val="24"/>
          <w:szCs w:val="24"/>
        </w:rPr>
        <w:t>jelatnika, duplikate svjedodžbi te</w:t>
      </w:r>
      <w:r>
        <w:rPr>
          <w:rFonts w:ascii="Times New Roman" w:hAnsi="Times New Roman" w:cs="Times New Roman"/>
          <w:sz w:val="24"/>
          <w:szCs w:val="24"/>
        </w:rPr>
        <w:t xml:space="preserve"> usluge </w:t>
      </w:r>
      <w:proofErr w:type="spellStart"/>
      <w:r>
        <w:rPr>
          <w:rFonts w:ascii="Times New Roman" w:hAnsi="Times New Roman" w:cs="Times New Roman"/>
          <w:sz w:val="24"/>
          <w:szCs w:val="24"/>
        </w:rPr>
        <w:t>cateringa</w:t>
      </w:r>
      <w:proofErr w:type="spellEnd"/>
      <w:r>
        <w:rPr>
          <w:rFonts w:ascii="Times New Roman" w:hAnsi="Times New Roman" w:cs="Times New Roman"/>
          <w:sz w:val="24"/>
          <w:szCs w:val="24"/>
        </w:rPr>
        <w:t xml:space="preserve">. </w:t>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Sredstva za financiranje decentraliziranih funkcij</w:t>
      </w:r>
      <w:r w:rsidR="00BA73B3">
        <w:rPr>
          <w:rFonts w:ascii="Times New Roman" w:hAnsi="Times New Roman" w:cs="Times New Roman"/>
          <w:sz w:val="24"/>
          <w:szCs w:val="24"/>
        </w:rPr>
        <w:t>a (izvor 45) u razdoblju od 2026. do 2028</w:t>
      </w:r>
      <w:r>
        <w:rPr>
          <w:rFonts w:ascii="Times New Roman" w:hAnsi="Times New Roman" w:cs="Times New Roman"/>
          <w:sz w:val="24"/>
          <w:szCs w:val="24"/>
        </w:rPr>
        <w:t>. godine planiraju se s istim indeksom j</w:t>
      </w:r>
      <w:r w:rsidR="00BA73B3">
        <w:rPr>
          <w:rFonts w:ascii="Times New Roman" w:hAnsi="Times New Roman" w:cs="Times New Roman"/>
          <w:sz w:val="24"/>
          <w:szCs w:val="24"/>
        </w:rPr>
        <w:t>er je zadnjim Rebalansom školi povećan</w:t>
      </w:r>
      <w:r>
        <w:rPr>
          <w:rFonts w:ascii="Times New Roman" w:hAnsi="Times New Roman" w:cs="Times New Roman"/>
          <w:sz w:val="24"/>
          <w:szCs w:val="24"/>
        </w:rPr>
        <w:t xml:space="preserve"> limit za </w:t>
      </w:r>
      <w:r w:rsidR="00BA73B3" w:rsidRPr="00BA73B3">
        <w:rPr>
          <w:rFonts w:ascii="Times New Roman" w:hAnsi="Times New Roman" w:cs="Times New Roman"/>
          <w:sz w:val="24"/>
          <w:szCs w:val="24"/>
        </w:rPr>
        <w:t>33.114,22</w:t>
      </w:r>
      <w:r w:rsidR="00BA73B3">
        <w:rPr>
          <w:rFonts w:ascii="Times New Roman" w:hAnsi="Times New Roman" w:cs="Times New Roman"/>
          <w:sz w:val="24"/>
          <w:szCs w:val="24"/>
        </w:rPr>
        <w:t xml:space="preserve"> </w:t>
      </w:r>
      <w:r>
        <w:rPr>
          <w:rFonts w:ascii="Times New Roman" w:hAnsi="Times New Roman" w:cs="Times New Roman"/>
          <w:sz w:val="24"/>
          <w:szCs w:val="24"/>
        </w:rPr>
        <w:t>eura te je novi ugovoreni limit jednak za naredne tri godine.</w:t>
      </w:r>
    </w:p>
    <w:p w:rsidR="007E3BF0" w:rsidRDefault="007E3BF0">
      <w:pPr>
        <w:spacing w:after="0" w:line="240"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263"/>
        <w:gridCol w:w="1699"/>
        <w:gridCol w:w="1700"/>
        <w:gridCol w:w="1700"/>
        <w:gridCol w:w="1700"/>
      </w:tblGrid>
      <w:tr w:rsidR="007E3BF0">
        <w:tc>
          <w:tcPr>
            <w:tcW w:w="2263"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Pokazatelj rezultata</w:t>
            </w:r>
          </w:p>
          <w:p w:rsidR="007E3BF0" w:rsidRDefault="0015672D">
            <w:pPr>
              <w:jc w:val="both"/>
              <w:rPr>
                <w:rFonts w:ascii="Times New Roman" w:hAnsi="Times New Roman" w:cs="Times New Roman"/>
              </w:rPr>
            </w:pPr>
            <w:r>
              <w:rPr>
                <w:rFonts w:ascii="Times New Roman" w:hAnsi="Times New Roman" w:cs="Times New Roman"/>
              </w:rPr>
              <w:t>(naziv pokazatelja)</w:t>
            </w:r>
          </w:p>
        </w:tc>
        <w:tc>
          <w:tcPr>
            <w:tcW w:w="1699"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Početna</w:t>
            </w:r>
          </w:p>
          <w:p w:rsidR="007E3BF0" w:rsidRDefault="0015672D">
            <w:pPr>
              <w:jc w:val="both"/>
              <w:rPr>
                <w:rFonts w:ascii="Times New Roman" w:hAnsi="Times New Roman" w:cs="Times New Roman"/>
              </w:rPr>
            </w:pPr>
            <w:r>
              <w:rPr>
                <w:rFonts w:ascii="Times New Roman" w:hAnsi="Times New Roman" w:cs="Times New Roman"/>
              </w:rPr>
              <w:t>vrijednost</w:t>
            </w:r>
          </w:p>
          <w:p w:rsidR="007E3BF0" w:rsidRDefault="00BA73B3">
            <w:pPr>
              <w:jc w:val="both"/>
              <w:rPr>
                <w:rFonts w:ascii="Times New Roman" w:hAnsi="Times New Roman" w:cs="Times New Roman"/>
              </w:rPr>
            </w:pPr>
            <w:r>
              <w:rPr>
                <w:rFonts w:ascii="Times New Roman" w:hAnsi="Times New Roman" w:cs="Times New Roman"/>
              </w:rPr>
              <w:t>2025</w:t>
            </w:r>
            <w:r w:rsidR="0015672D">
              <w:rPr>
                <w:rFonts w:ascii="Times New Roman" w:hAnsi="Times New Roman" w:cs="Times New Roman"/>
              </w:rPr>
              <w:t>.</w:t>
            </w:r>
          </w:p>
        </w:tc>
        <w:tc>
          <w:tcPr>
            <w:tcW w:w="1700"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Ciljana</w:t>
            </w:r>
          </w:p>
          <w:p w:rsidR="007E3BF0" w:rsidRDefault="0015672D">
            <w:pPr>
              <w:jc w:val="both"/>
              <w:rPr>
                <w:rFonts w:ascii="Times New Roman" w:hAnsi="Times New Roman" w:cs="Times New Roman"/>
              </w:rPr>
            </w:pPr>
            <w:r>
              <w:rPr>
                <w:rFonts w:ascii="Times New Roman" w:hAnsi="Times New Roman" w:cs="Times New Roman"/>
              </w:rPr>
              <w:t>vrijednost</w:t>
            </w:r>
          </w:p>
          <w:p w:rsidR="007E3BF0" w:rsidRDefault="00BA73B3">
            <w:pPr>
              <w:jc w:val="both"/>
              <w:rPr>
                <w:rFonts w:ascii="Times New Roman" w:hAnsi="Times New Roman" w:cs="Times New Roman"/>
              </w:rPr>
            </w:pPr>
            <w:r>
              <w:rPr>
                <w:rFonts w:ascii="Times New Roman" w:hAnsi="Times New Roman" w:cs="Times New Roman"/>
              </w:rPr>
              <w:t>(2026</w:t>
            </w:r>
            <w:r w:rsidR="0015672D">
              <w:rPr>
                <w:rFonts w:ascii="Times New Roman" w:hAnsi="Times New Roman" w:cs="Times New Roman"/>
              </w:rPr>
              <w:t>.)</w:t>
            </w:r>
          </w:p>
        </w:tc>
        <w:tc>
          <w:tcPr>
            <w:tcW w:w="1700"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Ciljana</w:t>
            </w:r>
          </w:p>
          <w:p w:rsidR="007E3BF0" w:rsidRDefault="0015672D">
            <w:pPr>
              <w:jc w:val="both"/>
              <w:rPr>
                <w:rFonts w:ascii="Times New Roman" w:hAnsi="Times New Roman" w:cs="Times New Roman"/>
              </w:rPr>
            </w:pPr>
            <w:r>
              <w:rPr>
                <w:rFonts w:ascii="Times New Roman" w:hAnsi="Times New Roman" w:cs="Times New Roman"/>
              </w:rPr>
              <w:t>vrijednost</w:t>
            </w:r>
          </w:p>
          <w:p w:rsidR="007E3BF0" w:rsidRDefault="00BA73B3">
            <w:pPr>
              <w:jc w:val="both"/>
              <w:rPr>
                <w:rFonts w:ascii="Times New Roman" w:hAnsi="Times New Roman" w:cs="Times New Roman"/>
              </w:rPr>
            </w:pPr>
            <w:r>
              <w:rPr>
                <w:rFonts w:ascii="Times New Roman" w:hAnsi="Times New Roman" w:cs="Times New Roman"/>
              </w:rPr>
              <w:t>(2027</w:t>
            </w:r>
            <w:r w:rsidR="0015672D">
              <w:rPr>
                <w:rFonts w:ascii="Times New Roman" w:hAnsi="Times New Roman" w:cs="Times New Roman"/>
              </w:rPr>
              <w:t>.)</w:t>
            </w:r>
          </w:p>
        </w:tc>
        <w:tc>
          <w:tcPr>
            <w:tcW w:w="1700" w:type="dxa"/>
            <w:shd w:val="clear" w:color="auto" w:fill="D9D9D9"/>
            <w:vAlign w:val="center"/>
          </w:tcPr>
          <w:p w:rsidR="007E3BF0" w:rsidRDefault="0015672D">
            <w:pPr>
              <w:jc w:val="both"/>
              <w:rPr>
                <w:rFonts w:ascii="Times New Roman" w:hAnsi="Times New Roman" w:cs="Times New Roman"/>
              </w:rPr>
            </w:pPr>
            <w:r>
              <w:rPr>
                <w:rFonts w:ascii="Times New Roman" w:hAnsi="Times New Roman" w:cs="Times New Roman"/>
              </w:rPr>
              <w:t>Ciljana</w:t>
            </w:r>
          </w:p>
          <w:p w:rsidR="007E3BF0" w:rsidRDefault="0015672D">
            <w:pPr>
              <w:jc w:val="both"/>
              <w:rPr>
                <w:rFonts w:ascii="Times New Roman" w:hAnsi="Times New Roman" w:cs="Times New Roman"/>
              </w:rPr>
            </w:pPr>
            <w:r>
              <w:rPr>
                <w:rFonts w:ascii="Times New Roman" w:hAnsi="Times New Roman" w:cs="Times New Roman"/>
              </w:rPr>
              <w:t>vrijednost</w:t>
            </w:r>
          </w:p>
          <w:p w:rsidR="007E3BF0" w:rsidRDefault="00BA73B3">
            <w:pPr>
              <w:jc w:val="both"/>
              <w:rPr>
                <w:rFonts w:ascii="Times New Roman" w:hAnsi="Times New Roman" w:cs="Times New Roman"/>
              </w:rPr>
            </w:pPr>
            <w:r>
              <w:rPr>
                <w:rFonts w:ascii="Times New Roman" w:hAnsi="Times New Roman" w:cs="Times New Roman"/>
              </w:rPr>
              <w:t>(2028</w:t>
            </w:r>
            <w:r w:rsidR="0015672D">
              <w:rPr>
                <w:rFonts w:ascii="Times New Roman" w:hAnsi="Times New Roman" w:cs="Times New Roman"/>
              </w:rPr>
              <w:t>.)</w:t>
            </w:r>
          </w:p>
        </w:tc>
      </w:tr>
      <w:tr w:rsidR="007E3BF0">
        <w:tc>
          <w:tcPr>
            <w:tcW w:w="2263" w:type="dxa"/>
            <w:vAlign w:val="center"/>
          </w:tcPr>
          <w:p w:rsidR="007E3BF0" w:rsidRDefault="0015672D">
            <w:pPr>
              <w:rPr>
                <w:rFonts w:ascii="Times New Roman" w:hAnsi="Times New Roman" w:cs="Times New Roman"/>
              </w:rPr>
            </w:pPr>
            <w:r>
              <w:rPr>
                <w:rFonts w:ascii="Times New Roman" w:hAnsi="Times New Roman" w:cs="Times New Roman"/>
              </w:rPr>
              <w:t>Sudjelovanje na županijskim i državnim natjecanjima</w:t>
            </w:r>
          </w:p>
          <w:p w:rsidR="007E3BF0" w:rsidRDefault="0015672D">
            <w:pPr>
              <w:rPr>
                <w:rFonts w:ascii="Times New Roman" w:hAnsi="Times New Roman" w:cs="Times New Roman"/>
              </w:rPr>
            </w:pPr>
            <w:r>
              <w:rPr>
                <w:rFonts w:ascii="Times New Roman" w:hAnsi="Times New Roman" w:cs="Times New Roman"/>
              </w:rPr>
              <w:t>(broj učenika)</w:t>
            </w:r>
          </w:p>
        </w:tc>
        <w:tc>
          <w:tcPr>
            <w:tcW w:w="1699" w:type="dxa"/>
            <w:vAlign w:val="center"/>
          </w:tcPr>
          <w:p w:rsidR="007E3BF0" w:rsidRDefault="001151FA">
            <w:pPr>
              <w:jc w:val="both"/>
              <w:rPr>
                <w:rFonts w:ascii="Times New Roman" w:hAnsi="Times New Roman" w:cs="Times New Roman"/>
              </w:rPr>
            </w:pPr>
            <w:r>
              <w:rPr>
                <w:rFonts w:ascii="Times New Roman" w:hAnsi="Times New Roman" w:cs="Times New Roman"/>
              </w:rPr>
              <w:t>30</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32</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33</w:t>
            </w:r>
          </w:p>
        </w:tc>
        <w:tc>
          <w:tcPr>
            <w:tcW w:w="1700" w:type="dxa"/>
            <w:vAlign w:val="center"/>
          </w:tcPr>
          <w:p w:rsidR="007E3BF0" w:rsidRDefault="001151FA" w:rsidP="001151FA">
            <w:pPr>
              <w:jc w:val="both"/>
              <w:rPr>
                <w:rFonts w:ascii="Times New Roman" w:hAnsi="Times New Roman" w:cs="Times New Roman"/>
              </w:rPr>
            </w:pPr>
            <w:r>
              <w:rPr>
                <w:rFonts w:ascii="Times New Roman" w:hAnsi="Times New Roman" w:cs="Times New Roman"/>
              </w:rPr>
              <w:t>34</w:t>
            </w:r>
          </w:p>
        </w:tc>
      </w:tr>
      <w:tr w:rsidR="007E3BF0">
        <w:tc>
          <w:tcPr>
            <w:tcW w:w="2263" w:type="dxa"/>
            <w:vAlign w:val="center"/>
          </w:tcPr>
          <w:p w:rsidR="007E3BF0" w:rsidRDefault="0015672D">
            <w:pPr>
              <w:rPr>
                <w:rFonts w:ascii="Times New Roman" w:hAnsi="Times New Roman" w:cs="Times New Roman"/>
              </w:rPr>
            </w:pPr>
            <w:r>
              <w:rPr>
                <w:rFonts w:ascii="Times New Roman" w:hAnsi="Times New Roman" w:cs="Times New Roman"/>
              </w:rPr>
              <w:t>Preventivni programi i radionice</w:t>
            </w:r>
          </w:p>
          <w:p w:rsidR="007E3BF0" w:rsidRDefault="0015672D">
            <w:pPr>
              <w:rPr>
                <w:rFonts w:ascii="Times New Roman" w:hAnsi="Times New Roman" w:cs="Times New Roman"/>
              </w:rPr>
            </w:pPr>
            <w:r>
              <w:rPr>
                <w:rFonts w:ascii="Times New Roman" w:hAnsi="Times New Roman" w:cs="Times New Roman"/>
              </w:rPr>
              <w:t>(broj održanih radionica)</w:t>
            </w:r>
          </w:p>
        </w:tc>
        <w:tc>
          <w:tcPr>
            <w:tcW w:w="1699" w:type="dxa"/>
            <w:vAlign w:val="center"/>
          </w:tcPr>
          <w:p w:rsidR="007E3BF0" w:rsidRDefault="001151FA">
            <w:pPr>
              <w:jc w:val="both"/>
              <w:rPr>
                <w:rFonts w:ascii="Times New Roman" w:hAnsi="Times New Roman" w:cs="Times New Roman"/>
              </w:rPr>
            </w:pPr>
            <w:r>
              <w:rPr>
                <w:rFonts w:ascii="Times New Roman" w:hAnsi="Times New Roman" w:cs="Times New Roman"/>
              </w:rPr>
              <w:t>14</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16</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18</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20</w:t>
            </w:r>
          </w:p>
        </w:tc>
      </w:tr>
      <w:tr w:rsidR="007E3BF0">
        <w:tc>
          <w:tcPr>
            <w:tcW w:w="2263" w:type="dxa"/>
            <w:vAlign w:val="center"/>
          </w:tcPr>
          <w:p w:rsidR="007E3BF0" w:rsidRDefault="0015672D">
            <w:pPr>
              <w:rPr>
                <w:rFonts w:ascii="Times New Roman" w:hAnsi="Times New Roman" w:cs="Times New Roman"/>
              </w:rPr>
            </w:pPr>
            <w:r>
              <w:rPr>
                <w:rFonts w:ascii="Times New Roman" w:hAnsi="Times New Roman" w:cs="Times New Roman"/>
              </w:rPr>
              <w:t>Povećanje broja učenika</w:t>
            </w:r>
          </w:p>
          <w:p w:rsidR="007E3BF0" w:rsidRDefault="0015672D">
            <w:pPr>
              <w:rPr>
                <w:rFonts w:ascii="Times New Roman" w:hAnsi="Times New Roman" w:cs="Times New Roman"/>
              </w:rPr>
            </w:pPr>
            <w:r>
              <w:rPr>
                <w:rFonts w:ascii="Times New Roman" w:hAnsi="Times New Roman" w:cs="Times New Roman"/>
              </w:rPr>
              <w:t>(broj upisanih učenika u 1. razred)</w:t>
            </w:r>
          </w:p>
        </w:tc>
        <w:tc>
          <w:tcPr>
            <w:tcW w:w="1699" w:type="dxa"/>
            <w:vAlign w:val="center"/>
          </w:tcPr>
          <w:p w:rsidR="007E3BF0" w:rsidRDefault="001151FA">
            <w:pPr>
              <w:jc w:val="both"/>
              <w:rPr>
                <w:rFonts w:ascii="Times New Roman" w:hAnsi="Times New Roman" w:cs="Times New Roman"/>
              </w:rPr>
            </w:pPr>
            <w:r>
              <w:rPr>
                <w:rFonts w:ascii="Times New Roman" w:hAnsi="Times New Roman" w:cs="Times New Roman"/>
              </w:rPr>
              <w:t>166</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170</w:t>
            </w:r>
          </w:p>
        </w:tc>
        <w:tc>
          <w:tcPr>
            <w:tcW w:w="1700" w:type="dxa"/>
            <w:vAlign w:val="center"/>
          </w:tcPr>
          <w:p w:rsidR="007E3BF0" w:rsidRDefault="0015672D">
            <w:pPr>
              <w:jc w:val="both"/>
              <w:rPr>
                <w:rFonts w:ascii="Times New Roman" w:hAnsi="Times New Roman" w:cs="Times New Roman"/>
              </w:rPr>
            </w:pPr>
            <w:r>
              <w:rPr>
                <w:rFonts w:ascii="Times New Roman" w:hAnsi="Times New Roman" w:cs="Times New Roman"/>
              </w:rPr>
              <w:t>180</w:t>
            </w:r>
          </w:p>
        </w:tc>
        <w:tc>
          <w:tcPr>
            <w:tcW w:w="1700" w:type="dxa"/>
            <w:vAlign w:val="center"/>
          </w:tcPr>
          <w:p w:rsidR="007E3BF0" w:rsidRDefault="0015672D">
            <w:pPr>
              <w:jc w:val="both"/>
              <w:rPr>
                <w:rFonts w:ascii="Times New Roman" w:hAnsi="Times New Roman" w:cs="Times New Roman"/>
              </w:rPr>
            </w:pPr>
            <w:r>
              <w:rPr>
                <w:rFonts w:ascii="Times New Roman" w:hAnsi="Times New Roman" w:cs="Times New Roman"/>
              </w:rPr>
              <w:t>180</w:t>
            </w:r>
          </w:p>
        </w:tc>
      </w:tr>
      <w:tr w:rsidR="007E3BF0">
        <w:tc>
          <w:tcPr>
            <w:tcW w:w="2263" w:type="dxa"/>
            <w:vAlign w:val="center"/>
          </w:tcPr>
          <w:p w:rsidR="007E3BF0" w:rsidRDefault="001151FA">
            <w:pPr>
              <w:rPr>
                <w:rFonts w:ascii="Times New Roman" w:hAnsi="Times New Roman" w:cs="Times New Roman"/>
              </w:rPr>
            </w:pPr>
            <w:r>
              <w:rPr>
                <w:rFonts w:ascii="Times New Roman" w:hAnsi="Times New Roman" w:cs="Times New Roman"/>
              </w:rPr>
              <w:t>Nastavak obrazovanja</w:t>
            </w:r>
          </w:p>
          <w:p w:rsidR="007E3BF0" w:rsidRDefault="0015672D" w:rsidP="001151FA">
            <w:pPr>
              <w:rPr>
                <w:rFonts w:ascii="Times New Roman" w:hAnsi="Times New Roman" w:cs="Times New Roman"/>
              </w:rPr>
            </w:pPr>
            <w:r>
              <w:rPr>
                <w:rFonts w:ascii="Times New Roman" w:hAnsi="Times New Roman" w:cs="Times New Roman"/>
              </w:rPr>
              <w:t>(broj učenika</w:t>
            </w:r>
            <w:r w:rsidR="001151FA">
              <w:rPr>
                <w:rFonts w:ascii="Times New Roman" w:hAnsi="Times New Roman" w:cs="Times New Roman"/>
              </w:rPr>
              <w:t xml:space="preserve"> koji su završili nastavak obrazovanja</w:t>
            </w:r>
            <w:r>
              <w:rPr>
                <w:rFonts w:ascii="Times New Roman" w:hAnsi="Times New Roman" w:cs="Times New Roman"/>
              </w:rPr>
              <w:t>)</w:t>
            </w:r>
          </w:p>
        </w:tc>
        <w:tc>
          <w:tcPr>
            <w:tcW w:w="1699" w:type="dxa"/>
            <w:vAlign w:val="center"/>
          </w:tcPr>
          <w:p w:rsidR="007E3BF0" w:rsidRDefault="001151FA">
            <w:pPr>
              <w:jc w:val="both"/>
              <w:rPr>
                <w:rFonts w:ascii="Times New Roman" w:hAnsi="Times New Roman" w:cs="Times New Roman"/>
              </w:rPr>
            </w:pPr>
            <w:r>
              <w:rPr>
                <w:rFonts w:ascii="Times New Roman" w:hAnsi="Times New Roman" w:cs="Times New Roman"/>
              </w:rPr>
              <w:t>3</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5</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7</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8</w:t>
            </w:r>
            <w:bookmarkStart w:id="1" w:name="_GoBack"/>
            <w:bookmarkEnd w:id="1"/>
          </w:p>
        </w:tc>
      </w:tr>
      <w:tr w:rsidR="007E3BF0">
        <w:tc>
          <w:tcPr>
            <w:tcW w:w="2263" w:type="dxa"/>
            <w:vAlign w:val="center"/>
          </w:tcPr>
          <w:p w:rsidR="007E3BF0" w:rsidRDefault="0015672D">
            <w:pPr>
              <w:rPr>
                <w:rFonts w:ascii="Times New Roman" w:hAnsi="Times New Roman" w:cs="Times New Roman"/>
              </w:rPr>
            </w:pPr>
            <w:r>
              <w:rPr>
                <w:rFonts w:ascii="Times New Roman" w:hAnsi="Times New Roman" w:cs="Times New Roman"/>
              </w:rPr>
              <w:t xml:space="preserve">Usluge cateringa </w:t>
            </w:r>
          </w:p>
          <w:p w:rsidR="007E3BF0" w:rsidRDefault="0015672D" w:rsidP="001151FA">
            <w:pPr>
              <w:rPr>
                <w:rFonts w:ascii="Times New Roman" w:hAnsi="Times New Roman" w:cs="Times New Roman"/>
              </w:rPr>
            </w:pPr>
            <w:r>
              <w:rPr>
                <w:rFonts w:ascii="Times New Roman" w:hAnsi="Times New Roman" w:cs="Times New Roman"/>
              </w:rPr>
              <w:t xml:space="preserve">(broj </w:t>
            </w:r>
            <w:r w:rsidR="001151FA">
              <w:rPr>
                <w:rFonts w:ascii="Times New Roman" w:hAnsi="Times New Roman" w:cs="Times New Roman"/>
              </w:rPr>
              <w:t xml:space="preserve">plaćenih </w:t>
            </w:r>
            <w:proofErr w:type="spellStart"/>
            <w:r>
              <w:rPr>
                <w:rFonts w:ascii="Times New Roman" w:hAnsi="Times New Roman" w:cs="Times New Roman"/>
              </w:rPr>
              <w:t>cateringa</w:t>
            </w:r>
            <w:proofErr w:type="spellEnd"/>
            <w:r>
              <w:rPr>
                <w:rFonts w:ascii="Times New Roman" w:hAnsi="Times New Roman" w:cs="Times New Roman"/>
              </w:rPr>
              <w:t>)</w:t>
            </w:r>
          </w:p>
        </w:tc>
        <w:tc>
          <w:tcPr>
            <w:tcW w:w="1699" w:type="dxa"/>
            <w:vAlign w:val="center"/>
          </w:tcPr>
          <w:p w:rsidR="007E3BF0" w:rsidRDefault="001151FA">
            <w:pPr>
              <w:jc w:val="both"/>
              <w:rPr>
                <w:rFonts w:ascii="Times New Roman" w:hAnsi="Times New Roman" w:cs="Times New Roman"/>
              </w:rPr>
            </w:pPr>
            <w:r>
              <w:rPr>
                <w:rFonts w:ascii="Times New Roman" w:hAnsi="Times New Roman" w:cs="Times New Roman"/>
              </w:rPr>
              <w:t>11</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12</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12</w:t>
            </w:r>
          </w:p>
        </w:tc>
        <w:tc>
          <w:tcPr>
            <w:tcW w:w="1700" w:type="dxa"/>
            <w:vAlign w:val="center"/>
          </w:tcPr>
          <w:p w:rsidR="007E3BF0" w:rsidRDefault="001151FA">
            <w:pPr>
              <w:jc w:val="both"/>
              <w:rPr>
                <w:rFonts w:ascii="Times New Roman" w:hAnsi="Times New Roman" w:cs="Times New Roman"/>
              </w:rPr>
            </w:pPr>
            <w:r>
              <w:rPr>
                <w:rFonts w:ascii="Times New Roman" w:hAnsi="Times New Roman" w:cs="Times New Roman"/>
              </w:rPr>
              <w:t>14</w:t>
            </w:r>
          </w:p>
        </w:tc>
      </w:tr>
    </w:tbl>
    <w:p w:rsidR="007E3BF0" w:rsidRDefault="007E3BF0">
      <w:pPr>
        <w:spacing w:after="0" w:line="240" w:lineRule="auto"/>
        <w:jc w:val="both"/>
        <w:rPr>
          <w:rFonts w:ascii="Times New Roman" w:hAnsi="Times New Roman" w:cs="Times New Roman"/>
          <w:sz w:val="24"/>
          <w:szCs w:val="24"/>
        </w:rPr>
      </w:pP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t>Vizija Škole je, kontinuiranim razvojem sustava kvalitete odgoja i obrazovanja postati prepoznatljiva škola kao uspješna, sigurna, poticajna i pouzdana za sve učenike, nastavnike i roditelje. I nadalje će učenike poticati na izražavanje kreativnosti, talenata i sposobnosti kroz uključivanje u slobodne aktivnosti, natjecanja</w:t>
      </w:r>
      <w:r w:rsidR="00BA73B3">
        <w:rPr>
          <w:rFonts w:ascii="Times New Roman" w:hAnsi="Times New Roman" w:cs="Times New Roman"/>
          <w:sz w:val="24"/>
          <w:szCs w:val="24"/>
        </w:rPr>
        <w:t xml:space="preserve"> te druge projekte. Tijekom 2025</w:t>
      </w:r>
      <w:r>
        <w:rPr>
          <w:rFonts w:ascii="Times New Roman" w:hAnsi="Times New Roman" w:cs="Times New Roman"/>
          <w:sz w:val="24"/>
          <w:szCs w:val="24"/>
        </w:rPr>
        <w:t xml:space="preserve">. godine naši učenici zajedno s predmetnim nastavnicima sudjelovali su u raznim projektima i organizaciji izložbi. </w:t>
      </w:r>
    </w:p>
    <w:p w:rsidR="007E3BF0" w:rsidRDefault="0015672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Škola će i dalje odgovorno, zakonito, namjenski, transparentno i svrhovito koristiti proračunska sredstva, kroz pravilno planiranje i kontrolu izvršavanja financijskog plana, a zbog teškog stanja u gospodarstvu nastavit će se mjere racionalizacije i štednje na svim stavkama plana.</w:t>
      </w:r>
    </w:p>
    <w:p w:rsidR="007E3BF0" w:rsidRDefault="007E3BF0">
      <w:pPr>
        <w:spacing w:after="0" w:line="240" w:lineRule="auto"/>
        <w:jc w:val="both"/>
        <w:rPr>
          <w:rFonts w:ascii="Times New Roman" w:hAnsi="Times New Roman" w:cs="Times New Roman"/>
          <w:sz w:val="24"/>
          <w:szCs w:val="24"/>
        </w:rPr>
      </w:pPr>
    </w:p>
    <w:p w:rsidR="007E3BF0" w:rsidRDefault="007E3BF0">
      <w:pPr>
        <w:spacing w:after="0" w:line="240" w:lineRule="auto"/>
        <w:jc w:val="both"/>
        <w:rPr>
          <w:rFonts w:ascii="Times New Roman" w:hAnsi="Times New Roman" w:cs="Times New Roman"/>
          <w:sz w:val="24"/>
          <w:szCs w:val="24"/>
        </w:rPr>
      </w:pPr>
    </w:p>
    <w:p w:rsidR="007E3BF0" w:rsidRDefault="0015672D">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E3BF0" w:rsidRDefault="0015672D">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Ravnateljica</w:t>
      </w:r>
    </w:p>
    <w:p w:rsidR="007E3BF0" w:rsidRDefault="0015672D">
      <w:pPr>
        <w:spacing w:after="0" w:line="240" w:lineRule="auto"/>
        <w:jc w:val="both"/>
        <w:rPr>
          <w:rFonts w:ascii="Times New Roman" w:hAnsi="Times New Roman" w:cs="Times New Roman"/>
          <w:b/>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sz w:val="24"/>
          <w:szCs w:val="24"/>
        </w:rPr>
        <w:t>Diana Radić Škara, prof.</w:t>
      </w:r>
    </w:p>
    <w:p w:rsidR="007E3BF0" w:rsidRDefault="007E3BF0">
      <w:pPr>
        <w:spacing w:after="0" w:line="240" w:lineRule="auto"/>
        <w:jc w:val="both"/>
        <w:rPr>
          <w:rFonts w:ascii="Times New Roman" w:hAnsi="Times New Roman" w:cs="Times New Roman"/>
          <w:b/>
          <w:sz w:val="24"/>
          <w:szCs w:val="24"/>
        </w:rPr>
      </w:pPr>
    </w:p>
    <w:p w:rsidR="007E3BF0" w:rsidRDefault="007E3BF0">
      <w:pPr>
        <w:spacing w:after="0" w:line="240" w:lineRule="auto"/>
        <w:jc w:val="both"/>
        <w:rPr>
          <w:rFonts w:ascii="Times New Roman" w:hAnsi="Times New Roman" w:cs="Times New Roman"/>
          <w:sz w:val="24"/>
          <w:szCs w:val="24"/>
        </w:rPr>
      </w:pPr>
    </w:p>
    <w:sectPr w:rsidR="007E3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D1A"/>
    <w:multiLevelType w:val="multilevel"/>
    <w:tmpl w:val="ED5C9A1C"/>
    <w:lvl w:ilvl="0">
      <w:start w:val="6362"/>
      <w:numFmt w:val="bullet"/>
      <w:lvlText w:val="-"/>
      <w:lvlJc w:val="left"/>
      <w:pPr>
        <w:ind w:left="720" w:hanging="360"/>
      </w:pPr>
      <w:rPr>
        <w:rFonts w:ascii="Cambria" w:eastAsiaTheme="minorHAnsi" w:hAnsi="Cambria"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41231"/>
    <w:multiLevelType w:val="hybridMultilevel"/>
    <w:tmpl w:val="2BDAB910"/>
    <w:lvl w:ilvl="0" w:tplc="1E32BE92">
      <w:start w:val="1"/>
      <w:numFmt w:val="decimal"/>
      <w:lvlText w:val="2.%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84038E"/>
    <w:multiLevelType w:val="hybridMultilevel"/>
    <w:tmpl w:val="4F1E9C42"/>
    <w:lvl w:ilvl="0" w:tplc="C3FE6266">
      <w:start w:val="1"/>
      <w:numFmt w:val="decimal"/>
      <w:lvlText w:val="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0823DD"/>
    <w:multiLevelType w:val="hybridMultilevel"/>
    <w:tmpl w:val="F87076EE"/>
    <w:lvl w:ilvl="0" w:tplc="1E32BE92">
      <w:start w:val="1"/>
      <w:numFmt w:val="decimal"/>
      <w:lvlText w:val="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4512D8"/>
    <w:multiLevelType w:val="hybridMultilevel"/>
    <w:tmpl w:val="41AA73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0451FD"/>
    <w:multiLevelType w:val="hybridMultilevel"/>
    <w:tmpl w:val="41AA73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0A52DB2"/>
    <w:multiLevelType w:val="multilevel"/>
    <w:tmpl w:val="C8DC25E4"/>
    <w:lvl w:ilvl="0">
      <w:start w:val="6362"/>
      <w:numFmt w:val="bullet"/>
      <w:lvlText w:val="-"/>
      <w:lvlJc w:val="left"/>
      <w:pPr>
        <w:ind w:left="720" w:hanging="360"/>
      </w:pPr>
      <w:rPr>
        <w:rFonts w:ascii="Cambria" w:eastAsiaTheme="minorHAnsi" w:hAnsi="Cambria"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7E164B"/>
    <w:multiLevelType w:val="hybridMultilevel"/>
    <w:tmpl w:val="E5662AA4"/>
    <w:lvl w:ilvl="0" w:tplc="1E32BE92">
      <w:start w:val="1"/>
      <w:numFmt w:val="decimal"/>
      <w:lvlText w:val="2.%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56D72B3F"/>
    <w:multiLevelType w:val="hybridMultilevel"/>
    <w:tmpl w:val="A0AC56B2"/>
    <w:lvl w:ilvl="0" w:tplc="1E32BE92">
      <w:start w:val="1"/>
      <w:numFmt w:val="decimal"/>
      <w:lvlText w:val="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2E6CA6"/>
    <w:multiLevelType w:val="hybridMultilevel"/>
    <w:tmpl w:val="3844E9F8"/>
    <w:lvl w:ilvl="0" w:tplc="1E32BE92">
      <w:start w:val="1"/>
      <w:numFmt w:val="decimal"/>
      <w:lvlText w:val="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992BD8"/>
    <w:multiLevelType w:val="hybridMultilevel"/>
    <w:tmpl w:val="186E936C"/>
    <w:lvl w:ilvl="0" w:tplc="070A55B4">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C12D2A"/>
    <w:multiLevelType w:val="hybridMultilevel"/>
    <w:tmpl w:val="B9DA60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5B4C23"/>
    <w:multiLevelType w:val="hybridMultilevel"/>
    <w:tmpl w:val="244CBC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F14645"/>
    <w:multiLevelType w:val="multilevel"/>
    <w:tmpl w:val="1354D3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BF5133"/>
    <w:multiLevelType w:val="multilevel"/>
    <w:tmpl w:val="59F8EAB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6A5D1F"/>
    <w:multiLevelType w:val="multilevel"/>
    <w:tmpl w:val="FE5CC9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13"/>
  </w:num>
  <w:num w:numId="4">
    <w:abstractNumId w:val="15"/>
  </w:num>
  <w:num w:numId="5">
    <w:abstractNumId w:val="9"/>
  </w:num>
  <w:num w:numId="6">
    <w:abstractNumId w:val="4"/>
  </w:num>
  <w:num w:numId="7">
    <w:abstractNumId w:val="5"/>
  </w:num>
  <w:num w:numId="8">
    <w:abstractNumId w:val="14"/>
  </w:num>
  <w:num w:numId="9">
    <w:abstractNumId w:val="10"/>
  </w:num>
  <w:num w:numId="10">
    <w:abstractNumId w:val="7"/>
  </w:num>
  <w:num w:numId="11">
    <w:abstractNumId w:val="2"/>
  </w:num>
  <w:num w:numId="12">
    <w:abstractNumId w:val="3"/>
  </w:num>
  <w:num w:numId="13">
    <w:abstractNumId w:val="8"/>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F0"/>
    <w:rsid w:val="00032131"/>
    <w:rsid w:val="000946AD"/>
    <w:rsid w:val="001151FA"/>
    <w:rsid w:val="0015672D"/>
    <w:rsid w:val="00186953"/>
    <w:rsid w:val="001F6A14"/>
    <w:rsid w:val="00323986"/>
    <w:rsid w:val="00375597"/>
    <w:rsid w:val="003E39D7"/>
    <w:rsid w:val="00423071"/>
    <w:rsid w:val="0054100B"/>
    <w:rsid w:val="00586259"/>
    <w:rsid w:val="005C19CA"/>
    <w:rsid w:val="00663589"/>
    <w:rsid w:val="007B0D1D"/>
    <w:rsid w:val="007E3BF0"/>
    <w:rsid w:val="00824A1D"/>
    <w:rsid w:val="00910149"/>
    <w:rsid w:val="00935A25"/>
    <w:rsid w:val="0096301A"/>
    <w:rsid w:val="00995D40"/>
    <w:rsid w:val="009A3107"/>
    <w:rsid w:val="00A1387A"/>
    <w:rsid w:val="00A161C7"/>
    <w:rsid w:val="00A81B93"/>
    <w:rsid w:val="00AB7C7D"/>
    <w:rsid w:val="00B03A5E"/>
    <w:rsid w:val="00BA73B3"/>
    <w:rsid w:val="00BF552C"/>
    <w:rsid w:val="00C81AB4"/>
    <w:rsid w:val="00CE6B9D"/>
    <w:rsid w:val="00E16E0F"/>
    <w:rsid w:val="00EB6EF4"/>
    <w:rsid w:val="00F300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7C05"/>
  <w15:docId w15:val="{09582913-FCBE-4040-9D16-93DACBAC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u w:val="single"/>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tus@htus.htnet.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451C-400A-4108-A514-B2F5E09D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8</Pages>
  <Words>2598</Words>
  <Characters>14810</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Racunovodja</dc:creator>
  <cp:keywords/>
  <dc:description/>
  <cp:lastModifiedBy>Racunovodja</cp:lastModifiedBy>
  <cp:revision>75</cp:revision>
  <cp:lastPrinted>2023-10-27T09:29:00Z</cp:lastPrinted>
  <dcterms:created xsi:type="dcterms:W3CDTF">2023-10-26T08:11:00Z</dcterms:created>
  <dcterms:modified xsi:type="dcterms:W3CDTF">2025-10-28T16:56:00Z</dcterms:modified>
</cp:coreProperties>
</file>