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Default Extension="bin" ContentType="application/vnd.openxmlformats-officedocument.oleObjec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</w:tblGrid>
      <w:tr>
        <w:trPr>
          <w:trHeight w:val="2828" w:hRule="atLeast"/>
        </w:trPr>
        <w:tc>
          <w:tcPr>
            <w:tcW w:type="dxa" w:w="6379"/>
            <w:tcBorders/>
          </w:tcPr>
          <w:tbl>
            <w:tblPr>
              <w:tblStyle w:val="Reetkatablice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138"/>
              <w:gridCol w:w="2025"/>
            </w:tblGrid>
            <w:tr>
              <w:trPr>
                <w:trHeight w:val="2828" w:hRule="atLeast"/>
              </w:trPr>
              <w:tc>
                <w:tcPr>
                  <w:tcW w:type="dxa" w:w="6379"/>
                  <w:tcBorders/>
                </w:tcPr>
                <w:p>
                  <w:pPr>
                    <w:widowControl w:val="false"/>
                    <w:autoSpaceDE w:val="false"/>
                    <w:autoSpaceDN w:val="false"/>
                    <w:adjustRightInd w:val="false"/>
                    <w:spacing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2" w:name="_Hlk128748807"/>
                  <w:r>
                    <w:rPr>
                      <w:rFonts w:ascii="Arial" w:hAnsi="Arial" w:cs="Arial"/>
                      <w:sz w:val="20"/>
                      <w:szCs w:val="20"/>
                    </w:rPr>
                    <w:object>
                      <v:shape id="_x0000_i1025" type="#_x0000_t75" style="margin-left:0pt;margin-top:0pt;width:153pt;height:42.75pt;mso-position-horizontal-relative:margin;mso-position-vertical-relative:margin;visibility:visible" o:ole="" o:bordertopcolor="#000000" o:borderleftcolor="#000000" o:borderbottomcolor="#000000" o:borderrightcolor="#000000">
                        <v:imagedata r:id="rId1" o:title=""/>
                      </v:shape>
                      <o:OLEObject Type="Embed" ProgID="Word.Picture.8" ShapeID="_x0000_i1025" DrawAspect="Content" r:id="rId2" ObjectID="_1836109664"/>
                    </w:object>
                  </w:r>
                </w:p>
                <w:p>
                  <w:pPr>
                    <w:widowControl w:val="false"/>
                    <w:autoSpaceDE w:val="false"/>
                    <w:autoSpaceDN w:val="false"/>
                    <w:adjustRightInd w:val="false"/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HOTELIJERSKO-TURISTIČKA I</w:t>
                  </w:r>
                </w:p>
                <w:p>
                  <w:pPr>
                    <w:widowControl w:val="false"/>
                    <w:tabs>
                      <w:tab w:val="left" w:pos="8340"/>
                    </w:tabs>
                    <w:autoSpaceDE w:val="false"/>
                    <w:autoSpaceDN w:val="false"/>
                    <w:adjustRightInd w:val="false"/>
                    <w:spacing w:after="0" w:line="240" w:lineRule="atLeast"/>
                    <w:ind w:left="11" w:hanging="1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UGOSTITELJSKA ŠKOLA - ZADAR</w:t>
                  </w:r>
                </w:p>
                <w:p>
                  <w:pPr>
                    <w:widowControl w:val="false"/>
                    <w:autoSpaceDE w:val="false"/>
                    <w:autoSpaceDN w:val="false"/>
                    <w:adjustRightInd w:val="false"/>
                    <w:spacing w:after="0" w:line="240" w:lineRule="atLeast"/>
                    <w:ind w:left="11" w:hanging="1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Antuna Gustava Matoša 40, 23000 Zadar</w:t>
                  </w:r>
                </w:p>
                <w:p>
                  <w:pPr>
                    <w:widowControl w:val="false"/>
                    <w:autoSpaceDE w:val="false"/>
                    <w:autoSpaceDN w:val="false"/>
                    <w:adjustRightInd w:val="false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Tel: 023 335 295 E-mail: </w:t>
                  </w:r>
                  <w:r>
                    <w:rPr/>
                    <w:fldChar w:fldCharType="begin"/>
                  </w:r>
                  <w:r>
                    <w:rPr/>
                    <w:instrText xml:space="preserve">HYPERLINK "mailto:htus@htus.htnet.hr" </w:instrText>
                  </w:r>
                  <w:r>
                    <w:rPr/>
                    <w:fldChar w:fldCharType="separate"/>
                  </w:r>
                  <w:r>
                    <w:rPr>
                      <w:rStyle w:val="Hiperveza"/>
                      <w:rFonts w:ascii="Times New Roman" w:hAnsi="Times New Roman" w:cs="Times New Roman"/>
                      <w:sz w:val="20"/>
                      <w:szCs w:val="20"/>
                    </w:rPr>
                    <w:t xml:space="preserve">htus@htus.htnet.hr</w:t>
                  </w:r>
                  <w:r>
                    <w:rPr/>
                    <w:fldChar w:fldCharType="end"/>
                  </w:r>
                </w:p>
                <w:p>
                  <w:pPr>
                    <w:spacing w:after="160" w:line="259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KLASA:       </w:t>
                  </w:r>
                  <w:r>
                    <w:rPr>
                      <w:rFonts w:ascii="Times New Roman" w:hAnsi="Times New Roman" w:cs="Times New Roman"/>
                      <w:noProof/>
                      <w:lang w:val="en-US"/>
                    </w:rPr>
                    <w:t xml:space="preserve">400-02/26-01/1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                                               URBROJ:     </w:t>
                  </w:r>
                  <w:r>
                    <w:rPr>
                      <w:rFonts w:ascii="Times New Roman" w:hAnsi="Times New Roman" w:cs="Times New Roman"/>
                      <w:noProof/>
                    </w:rPr>
                    <w:t xml:space="preserve">2198-1-61-26-1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</w:t>
                  </w:r>
                </w:p>
                <w:p>
                  <w:pPr>
                    <w:spacing w:after="160" w:line="259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Zadar, 25. ožujka 2026. godine</w:t>
                  </w:r>
                </w:p>
              </w:tc>
              <w:tc>
                <w:tcPr>
                  <w:tcW w:type="dxa" w:w="2693"/>
                  <w:tcBorders/>
                </w:tcPr>
                <w:p>
                  <w:pPr>
                    <w:spacing w:after="160" w:line="259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/>
                    <w:drawing>
                      <wp:inline>
                        <wp:extent cx="933580" cy="933580"/>
                        <wp:docPr id="1" name="Picture 2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580" cy="933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spacing w:after="160"/>
              <w:rPr>
                <w:rFonts w:ascii="Times New Roman" w:hAnsi="Times New Roman" w:cs="Times New Roman"/>
              </w:rPr>
            </w:pPr>
          </w:p>
        </w:tc>
      </w:tr>
      <w:bookmarkEnd w:id="2"/>
    </w:tbl>
    <w:p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OBRAZLOŽENJE UZ </w:t>
      </w:r>
      <w:r>
        <w:rPr>
          <w:rFonts w:ascii="Times New Roman" w:hAnsi="Times New Roman" w:cs="Times New Roman"/>
          <w:b/>
          <w:sz w:val="28"/>
          <w:szCs w:val="28"/>
        </w:rPr>
        <w:t xml:space="preserve">GODIŠNJI IZVJEŠTAJ O IZVR</w:t>
      </w:r>
      <w:r>
        <w:rPr>
          <w:rFonts w:ascii="Times New Roman" w:hAnsi="Times New Roman" w:cs="Times New Roman"/>
          <w:b/>
          <w:sz w:val="28"/>
          <w:szCs w:val="28"/>
        </w:rPr>
        <w:t xml:space="preserve">ŠENJU FINANCIJSKOG PLANA ZA 2025</w:t>
      </w:r>
      <w:r>
        <w:rPr>
          <w:rFonts w:ascii="Times New Roman" w:hAnsi="Times New Roman" w:cs="Times New Roman"/>
          <w:b/>
          <w:sz w:val="28"/>
          <w:szCs w:val="28"/>
        </w:rPr>
        <w:t xml:space="preserve">. GODINU</w:t>
      </w:r>
    </w:p>
    <w:p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/>
      </w:r>
    </w:p>
    <w:p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Sadržaj, podnošenje i donošenje izvještaja o izvršenju financijskog plana proračunskog i izvanproračunskog </w:t>
      </w:r>
      <w:r>
        <w:rPr>
          <w:rFonts w:ascii="Times New Roman" w:hAnsi="Times New Roman" w:cs="Times New Roman"/>
          <w:bCs/>
          <w:sz w:val="24"/>
          <w:szCs w:val="24"/>
        </w:rPr>
        <w:t xml:space="preserve">korisnika propisan je u čl. 81.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86. Zakona o proračunu</w:t>
      </w:r>
      <w:r>
        <w:rPr>
          <w:rFonts w:ascii="Times New Roman" w:hAnsi="Times New Roman" w:cs="Times New Roman"/>
          <w:bCs/>
          <w:sz w:val="24"/>
          <w:szCs w:val="24"/>
        </w:rPr>
        <w:t xml:space="preserve"> (NN br. 144/21)</w:t>
      </w:r>
      <w:r>
        <w:rPr>
          <w:rFonts w:ascii="Times New Roman" w:hAnsi="Times New Roman" w:cs="Times New Roman"/>
          <w:bCs/>
          <w:sz w:val="24"/>
          <w:szCs w:val="24"/>
        </w:rPr>
        <w:t xml:space="preserve">,</w:t>
      </w:r>
      <w:r>
        <w:rPr/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detaljno uređen Pravilnikom o polugodišnjem i godišnjem izvještaj o izvršenju proračun</w:t>
      </w:r>
      <w:r>
        <w:rPr>
          <w:rFonts w:ascii="Times New Roman" w:hAnsi="Times New Roman" w:cs="Times New Roman"/>
          <w:bCs/>
          <w:sz w:val="24"/>
          <w:szCs w:val="24"/>
        </w:rPr>
        <w:t xml:space="preserve">a i financijskog plana (NN</w:t>
      </w:r>
      <w:r>
        <w:rPr>
          <w:rFonts w:ascii="Times New Roman" w:hAnsi="Times New Roman" w:cs="Times New Roman"/>
          <w:bCs/>
          <w:sz w:val="24"/>
          <w:szCs w:val="24"/>
        </w:rPr>
        <w:t xml:space="preserve"> br. 85/23.).</w:t>
      </w:r>
    </w:p>
    <w:p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Hotelijersko – turistička i ugostiteljska škola Zadar podnosi školskom odboru izvještaj o izvršenju financijskog plana za razdoblje od 1. siječnj</w:t>
      </w:r>
      <w:r>
        <w:rPr>
          <w:rFonts w:ascii="Times New Roman" w:hAnsi="Times New Roman" w:cs="Times New Roman"/>
          <w:bCs/>
          <w:sz w:val="24"/>
          <w:szCs w:val="24"/>
        </w:rPr>
        <w:t xml:space="preserve">a do 31. prosinca 2025. godine. </w:t>
      </w:r>
      <w:r>
        <w:rPr>
          <w:rFonts w:ascii="Times New Roman" w:hAnsi="Times New Roman" w:cs="Times New Roman"/>
          <w:bCs/>
          <w:sz w:val="24"/>
          <w:szCs w:val="24"/>
        </w:rPr>
        <w:t xml:space="preserve">Obveza izrade izvještaja o izvršenju za svakog proračunskog korisnika proizlazi iz činjenice da je financijski plan (koji je dio proračuna) donesen na razini svakog korisnika i usvojen od strane njegovog upravljačkog tijela, a izvještaj o izvršenju pokazuje ostvarenje tog plana. </w:t>
      </w:r>
    </w:p>
    <w:p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Izvještaj o izvršenju financijskog plana prati jesu li se i kojim iznosima ostvarile planirane pozicije prihoda, primitaka, rashoda, izdataka, viškova i manjkova unutar godi</w:t>
      </w:r>
      <w:r>
        <w:rPr>
          <w:rFonts w:ascii="Times New Roman" w:hAnsi="Times New Roman" w:cs="Times New Roman"/>
          <w:bCs/>
          <w:sz w:val="24"/>
          <w:szCs w:val="24"/>
        </w:rPr>
        <w:t xml:space="preserve">šnjeg razdoblja. U privitku </w:t>
      </w:r>
      <w:r>
        <w:rPr>
          <w:rFonts w:ascii="Times New Roman" w:hAnsi="Times New Roman" w:cs="Times New Roman"/>
          <w:bCs/>
          <w:sz w:val="24"/>
          <w:szCs w:val="24"/>
        </w:rPr>
        <w:t xml:space="preserve">se dostavlja Godišnji izvještaj o godišnjem izvršenju financijskog plana za 2025. godinu gdje se nalaze sljedeći tabelarni pregledi: Opći dio godišnjeg izvještaja o izvršenju financijskog plana sadrži: Sažetak računa prihoda i rashoda te račun financiranja koji sadrži prikaz ukupno ostvarenih prihoda i primitaka te izvršenih rashoda i izdataka te Posebni dio koji sadrži Račun prihoda i rashoda po ekonomskoj klasifikaciji i izvorima financiranja raspoređenih u programe koji se sastoje od aktivnosti i projekata. </w:t>
      </w:r>
    </w:p>
    <w:p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Uspoređivani su svi elementi izvršenja 2024. u odnosu na godišnje izvršenje 2025. te plan 2025. u odnosu na godišnje izvršenje 2025.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/>
      </w:r>
    </w:p>
    <w:p>
      <w:pPr>
        <w:pStyle w:val="Odlomakpopis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Uvod – osnovni podaci o školi:</w:t>
      </w:r>
    </w:p>
    <w:p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/>
        <w:ind w:left="-66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Hotelijersko – turistička i ugostiteljska škola Zadar je javna ustanova koja pruža srednjoškolsko obrazovanje učenika od 1. do 4. razreda. Osnivač je Zadarska županija (Rješenje Ministarstva prosvjete i športa, Klasa: 602-03/92-01-769, </w:t>
      </w:r>
      <w:r>
        <w:rPr>
          <w:rFonts w:ascii="Times New Roman" w:hAnsi="Times New Roman" w:cs="Times New Roman"/>
          <w:sz w:val="24"/>
          <w:szCs w:val="24"/>
        </w:rPr>
        <w:t xml:space="preserve">Urbroj</w:t>
      </w:r>
      <w:r>
        <w:rPr>
          <w:rFonts w:ascii="Times New Roman" w:hAnsi="Times New Roman" w:cs="Times New Roman"/>
          <w:sz w:val="24"/>
          <w:szCs w:val="24"/>
        </w:rPr>
        <w:t xml:space="preserve">: 532-02-6/3-93-01, od 08. veljača 1993. godine). Prostor se dijeli s Ekonomskom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birotehničkom i trgovačkom školom Zadar.</w:t>
      </w:r>
    </w:p>
    <w:p>
      <w:pPr>
        <w:spacing w:after="0"/>
        <w:ind w:left="-66" w:right="-142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left="-66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Nastava se organizira u dvije smjene kroz petodnevni radni tjedan, a izvodi se prema nastavnom planu i programu koje je donijelo Ministarstvo zna</w:t>
      </w:r>
      <w:r>
        <w:rPr>
          <w:rFonts w:ascii="Times New Roman" w:hAnsi="Times New Roman" w:cs="Times New Roman"/>
          <w:sz w:val="24"/>
          <w:szCs w:val="24"/>
        </w:rPr>
        <w:t xml:space="preserve">nosti,</w:t>
      </w:r>
      <w:r>
        <w:rPr>
          <w:rFonts w:ascii="Times New Roman" w:hAnsi="Times New Roman" w:cs="Times New Roman"/>
          <w:sz w:val="24"/>
          <w:szCs w:val="24"/>
        </w:rPr>
        <w:t xml:space="preserve"> obrazovanja</w:t>
      </w:r>
      <w:r>
        <w:rPr>
          <w:rFonts w:ascii="Times New Roman" w:hAnsi="Times New Roman" w:cs="Times New Roman"/>
          <w:sz w:val="24"/>
          <w:szCs w:val="24"/>
        </w:rPr>
        <w:t xml:space="preserve"> i mladih</w:t>
      </w:r>
      <w:r>
        <w:rPr>
          <w:rFonts w:ascii="Times New Roman" w:hAnsi="Times New Roman" w:cs="Times New Roman"/>
          <w:sz w:val="24"/>
          <w:szCs w:val="24"/>
        </w:rPr>
        <w:t xml:space="preserve">, prema Godišnjem planu i programu te Školskom kurikulumu.</w:t>
      </w:r>
    </w:p>
    <w:p>
      <w:pPr>
        <w:spacing w:after="0"/>
        <w:ind w:left="-66" w:right="-142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left="-66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Škola obrazuje učenike za zanimanja: kuhar, </w:t>
      </w:r>
      <w:r>
        <w:rPr>
          <w:rFonts w:ascii="Times New Roman" w:hAnsi="Times New Roman" w:cs="Times New Roman"/>
          <w:sz w:val="24"/>
          <w:szCs w:val="24"/>
        </w:rPr>
        <w:t xml:space="preserve">konobar, slastičar, turističko-</w:t>
      </w:r>
      <w:r>
        <w:rPr>
          <w:rFonts w:ascii="Times New Roman" w:hAnsi="Times New Roman" w:cs="Times New Roman"/>
          <w:sz w:val="24"/>
          <w:szCs w:val="24"/>
        </w:rPr>
        <w:t xml:space="preserve">hotelijers</w:t>
      </w:r>
      <w:r>
        <w:rPr>
          <w:rFonts w:ascii="Times New Roman" w:hAnsi="Times New Roman" w:cs="Times New Roman"/>
          <w:sz w:val="24"/>
          <w:szCs w:val="24"/>
        </w:rPr>
        <w:t xml:space="preserve">ki komercijalist, hotelijersko-</w:t>
      </w:r>
      <w:r>
        <w:rPr>
          <w:rFonts w:ascii="Times New Roman" w:hAnsi="Times New Roman" w:cs="Times New Roman"/>
          <w:sz w:val="24"/>
          <w:szCs w:val="24"/>
        </w:rPr>
        <w:t xml:space="preserve">turistički tehničar, pomoćni kuhar i slastičar (učenici s teškoćama u razvoju), pomoćni konobar (učenici s teškoćama u razvoju).</w:t>
      </w:r>
    </w:p>
    <w:p>
      <w:pPr>
        <w:spacing w:after="0"/>
        <w:ind w:left="-66" w:right="-142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Odlomakpopis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Obrazloženje općeg dijela izvještaja o izvršenju financijskog plana</w:t>
      </w:r>
    </w:p>
    <w:p>
      <w:pPr>
        <w:pStyle w:val="Odlomakpopisa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Odlomakpopisa"/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Sažetak računa prihoda i rashoda i računa financiranja</w:t>
      </w:r>
    </w:p>
    <w:p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Od planiranih prihoda za 2025</w:t>
      </w:r>
      <w:r>
        <w:rPr>
          <w:rFonts w:ascii="Times New Roman" w:hAnsi="Times New Roman" w:cs="Times New Roman"/>
          <w:bCs/>
          <w:sz w:val="24"/>
          <w:szCs w:val="24"/>
        </w:rPr>
        <w:t xml:space="preserve">. godinu u iznosu od </w:t>
      </w:r>
      <w:r>
        <w:rPr>
          <w:rFonts w:ascii="Times New Roman" w:hAnsi="Times New Roman" w:cs="Times New Roman"/>
          <w:bCs/>
          <w:sz w:val="24"/>
          <w:szCs w:val="24"/>
        </w:rPr>
        <w:t xml:space="preserve">2.468.475,45</w:t>
      </w:r>
      <w:r>
        <w:rPr>
          <w:rFonts w:ascii="Times New Roman" w:hAnsi="Times New Roman" w:cs="Times New Roman"/>
          <w:bCs/>
          <w:sz w:val="24"/>
          <w:szCs w:val="24"/>
        </w:rPr>
        <w:t xml:space="preserve"> EUR, realizirani su prihodi u iznosu od </w:t>
      </w:r>
      <w:r>
        <w:rPr>
          <w:rFonts w:ascii="Times New Roman" w:hAnsi="Times New Roman" w:cs="Times New Roman"/>
          <w:bCs/>
          <w:sz w:val="24"/>
          <w:szCs w:val="24"/>
        </w:rPr>
        <w:t xml:space="preserve">2.377.738,68</w:t>
      </w:r>
      <w:r>
        <w:rPr>
          <w:rFonts w:ascii="Times New Roman" w:hAnsi="Times New Roman" w:cs="Times New Roman"/>
          <w:bCs/>
          <w:sz w:val="24"/>
          <w:szCs w:val="24"/>
        </w:rPr>
        <w:t xml:space="preserve"> EUR što iznosi </w:t>
      </w:r>
      <w:r>
        <w:rPr>
          <w:rFonts w:ascii="Times New Roman" w:hAnsi="Times New Roman" w:cs="Times New Roman"/>
          <w:bCs/>
          <w:sz w:val="24"/>
          <w:szCs w:val="24"/>
        </w:rPr>
        <w:t xml:space="preserve">96,32</w:t>
      </w:r>
      <w:r>
        <w:rPr>
          <w:rFonts w:ascii="Times New Roman" w:hAnsi="Times New Roman" w:cs="Times New Roman"/>
          <w:bCs/>
          <w:sz w:val="24"/>
          <w:szCs w:val="24"/>
        </w:rPr>
        <w:t xml:space="preserve"> %.</w:t>
      </w:r>
    </w:p>
    <w:p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odnosu na 2024</w:t>
      </w:r>
      <w:r>
        <w:rPr>
          <w:rFonts w:ascii="Times New Roman" w:hAnsi="Times New Roman" w:cs="Times New Roman"/>
          <w:bCs/>
          <w:sz w:val="24"/>
          <w:szCs w:val="24"/>
        </w:rPr>
        <w:t xml:space="preserve">. godinu indeks izvršenja prihoda iznosi </w:t>
      </w:r>
      <w:r>
        <w:rPr>
          <w:rFonts w:ascii="Times New Roman" w:hAnsi="Times New Roman" w:cs="Times New Roman"/>
          <w:bCs/>
          <w:sz w:val="24"/>
          <w:szCs w:val="24"/>
        </w:rPr>
        <w:t xml:space="preserve">106,27</w:t>
      </w:r>
      <w:r>
        <w:rPr>
          <w:rFonts w:ascii="Times New Roman" w:hAnsi="Times New Roman" w:cs="Times New Roman"/>
          <w:bCs/>
          <w:sz w:val="24"/>
          <w:szCs w:val="24"/>
        </w:rPr>
        <w:t xml:space="preserve"> %.</w:t>
      </w:r>
    </w:p>
    <w:p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Od u</w:t>
      </w:r>
      <w:r>
        <w:rPr>
          <w:rFonts w:ascii="Times New Roman" w:hAnsi="Times New Roman" w:cs="Times New Roman"/>
          <w:bCs/>
          <w:sz w:val="24"/>
          <w:szCs w:val="24"/>
        </w:rPr>
        <w:t xml:space="preserve">kupno planiranih rashoda za 2025</w:t>
      </w:r>
      <w:r>
        <w:rPr>
          <w:rFonts w:ascii="Times New Roman" w:hAnsi="Times New Roman" w:cs="Times New Roman"/>
          <w:bCs/>
          <w:sz w:val="24"/>
          <w:szCs w:val="24"/>
        </w:rPr>
        <w:t xml:space="preserve">. godinu u iznosu od </w:t>
      </w:r>
      <w:r>
        <w:rPr>
          <w:rFonts w:ascii="Times New Roman" w:hAnsi="Times New Roman" w:cs="Times New Roman"/>
          <w:bCs/>
          <w:sz w:val="24"/>
          <w:szCs w:val="24"/>
        </w:rPr>
        <w:t xml:space="preserve">2.517.151,76</w:t>
      </w:r>
      <w:r>
        <w:rPr>
          <w:rFonts w:ascii="Times New Roman" w:hAnsi="Times New Roman" w:cs="Times New Roman"/>
          <w:bCs/>
          <w:sz w:val="24"/>
          <w:szCs w:val="24"/>
        </w:rPr>
        <w:t xml:space="preserve"> EUR realizirani su rashodi u iznosu od </w:t>
      </w:r>
      <w:r>
        <w:rPr>
          <w:rFonts w:ascii="Times New Roman" w:hAnsi="Times New Roman" w:cs="Times New Roman"/>
          <w:bCs/>
          <w:sz w:val="24"/>
          <w:szCs w:val="24"/>
        </w:rPr>
        <w:t xml:space="preserve">2.563.658,23 </w:t>
      </w:r>
      <w:r>
        <w:rPr>
          <w:rFonts w:ascii="Times New Roman" w:hAnsi="Times New Roman" w:cs="Times New Roman"/>
          <w:bCs/>
          <w:sz w:val="24"/>
          <w:szCs w:val="24"/>
        </w:rPr>
        <w:t xml:space="preserve">EUR što iznosi </w:t>
      </w:r>
      <w:r>
        <w:rPr>
          <w:rFonts w:ascii="Times New Roman" w:hAnsi="Times New Roman" w:cs="Times New Roman"/>
          <w:bCs/>
          <w:sz w:val="24"/>
          <w:szCs w:val="24"/>
        </w:rPr>
        <w:t xml:space="preserve">101,85</w:t>
      </w:r>
      <w:r>
        <w:rPr>
          <w:rFonts w:ascii="Times New Roman" w:hAnsi="Times New Roman" w:cs="Times New Roman"/>
          <w:bCs/>
          <w:sz w:val="24"/>
          <w:szCs w:val="24"/>
        </w:rPr>
        <w:t xml:space="preserve"> %.</w:t>
      </w:r>
    </w:p>
    <w:p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odnosu na 2024</w:t>
      </w:r>
      <w:r>
        <w:rPr>
          <w:rFonts w:ascii="Times New Roman" w:hAnsi="Times New Roman" w:cs="Times New Roman"/>
          <w:bCs/>
          <w:sz w:val="24"/>
          <w:szCs w:val="24"/>
        </w:rPr>
        <w:t xml:space="preserve">. godinu indeks izvršenja rashoda iznosi </w:t>
      </w:r>
      <w:r>
        <w:rPr>
          <w:rFonts w:ascii="Times New Roman" w:hAnsi="Times New Roman" w:cs="Times New Roman"/>
          <w:bCs/>
          <w:sz w:val="24"/>
          <w:szCs w:val="24"/>
        </w:rPr>
        <w:t xml:space="preserve">116,30</w:t>
      </w:r>
      <w:r>
        <w:rPr>
          <w:rFonts w:ascii="Times New Roman" w:hAnsi="Times New Roman" w:cs="Times New Roman"/>
          <w:bCs/>
          <w:sz w:val="24"/>
          <w:szCs w:val="24"/>
        </w:rPr>
        <w:t xml:space="preserve"> %</w:t>
      </w:r>
    </w:p>
    <w:p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Manjak</w:t>
      </w:r>
      <w:r>
        <w:rPr>
          <w:rFonts w:ascii="Times New Roman" w:hAnsi="Times New Roman" w:cs="Times New Roman"/>
          <w:bCs/>
          <w:sz w:val="24"/>
          <w:szCs w:val="24"/>
        </w:rPr>
        <w:t xml:space="preserve"> prihoda i primitaka za pokriće u rashoda u sljedećem rashodu iznosu </w:t>
      </w:r>
      <w:r>
        <w:rPr>
          <w:rFonts w:ascii="Times New Roman" w:hAnsi="Times New Roman" w:cs="Times New Roman"/>
          <w:bCs/>
          <w:sz w:val="24"/>
          <w:szCs w:val="24"/>
        </w:rPr>
        <w:t xml:space="preserve">137.243,24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EUR.</w:t>
      </w:r>
    </w:p>
    <w:p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>
      <w:pPr>
        <w:pStyle w:val="Odlomakpopisa"/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Račun prihoda i rashoda prema ekonomskoj klasifikaciji</w:t>
      </w:r>
    </w:p>
    <w:p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Odlomakpopisa"/>
        <w:numPr>
          <w:ilvl w:val="2"/>
          <w:numId w:val="17"/>
        </w:num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Prihodi</w:t>
      </w:r>
    </w:p>
    <w:p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63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pomoći </w:t>
      </w:r>
      <w:r>
        <w:rPr>
          <w:rFonts w:ascii="Times New Roman" w:hAnsi="Times New Roman" w:cs="Times New Roman"/>
          <w:bCs/>
          <w:sz w:val="24"/>
          <w:szCs w:val="24"/>
        </w:rPr>
        <w:t xml:space="preserve">iz inozemstva i od subjekata općeg proračuna – ostvareno je 95,30 % </w:t>
      </w:r>
      <w:r>
        <w:rPr>
          <w:rFonts w:ascii="Times New Roman" w:hAnsi="Times New Roman" w:cs="Times New Roman"/>
          <w:bCs/>
          <w:sz w:val="24"/>
          <w:szCs w:val="24"/>
        </w:rPr>
        <w:t xml:space="preserve">u odnosu na planirano. Tu spadaju sredstva Državnog proračuna za isplatu plaća i materijalnih prava za zaposlenike u iznosu od </w:t>
      </w:r>
      <w:r>
        <w:rPr>
          <w:rFonts w:ascii="Times New Roman" w:hAnsi="Times New Roman" w:cs="Times New Roman"/>
          <w:bCs/>
          <w:sz w:val="24"/>
          <w:szCs w:val="24"/>
        </w:rPr>
        <w:t xml:space="preserve">2.045.758,37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EUR, </w:t>
      </w:r>
      <w:r>
        <w:rPr>
          <w:rFonts w:ascii="Times New Roman" w:hAnsi="Times New Roman" w:cs="Times New Roman"/>
          <w:bCs/>
          <w:sz w:val="24"/>
          <w:szCs w:val="24"/>
        </w:rPr>
        <w:t xml:space="preserve">t</w:t>
      </w:r>
      <w:r>
        <w:rPr>
          <w:rFonts w:ascii="Times New Roman" w:hAnsi="Times New Roman" w:cs="Times New Roman"/>
          <w:bCs/>
          <w:sz w:val="24"/>
          <w:szCs w:val="24"/>
        </w:rPr>
        <w:t xml:space="preserve">rošak sudskih pristojbi,</w:t>
      </w:r>
      <w:r>
        <w:rPr>
          <w:rFonts w:ascii="Times New Roman" w:hAnsi="Times New Roman" w:cs="Times New Roman"/>
          <w:bCs/>
          <w:sz w:val="24"/>
          <w:szCs w:val="24"/>
        </w:rPr>
        <w:t xml:space="preserve"> isplata ispitnog povjerenstva, </w:t>
      </w:r>
      <w:r>
        <w:rPr>
          <w:rFonts w:ascii="Times New Roman" w:hAnsi="Times New Roman" w:cs="Times New Roman"/>
          <w:bCs/>
          <w:sz w:val="24"/>
          <w:szCs w:val="24"/>
        </w:rPr>
        <w:t xml:space="preserve">troškovi za voditelja županijsko</w:t>
      </w:r>
      <w:r>
        <w:rPr>
          <w:rFonts w:ascii="Times New Roman" w:hAnsi="Times New Roman" w:cs="Times New Roman"/>
          <w:bCs/>
          <w:sz w:val="24"/>
          <w:szCs w:val="24"/>
        </w:rPr>
        <w:t xml:space="preserve"> stručno</w:t>
      </w:r>
      <w:r>
        <w:rPr>
          <w:rFonts w:ascii="Times New Roman" w:hAnsi="Times New Roman" w:cs="Times New Roman"/>
          <w:bCs/>
          <w:sz w:val="24"/>
          <w:szCs w:val="24"/>
        </w:rPr>
        <w:t xml:space="preserve">g vijeća</w:t>
      </w:r>
      <w:r>
        <w:rPr>
          <w:rFonts w:ascii="Times New Roman" w:hAnsi="Times New Roman" w:cs="Times New Roman"/>
          <w:bCs/>
          <w:sz w:val="24"/>
          <w:szCs w:val="24"/>
        </w:rPr>
        <w:t xml:space="preserve"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menstrualne higijenske potrepštine</w:t>
      </w:r>
      <w:r>
        <w:rPr>
          <w:rFonts w:ascii="Times New Roman" w:hAnsi="Times New Roman" w:cs="Times New Roman"/>
          <w:bCs/>
          <w:sz w:val="24"/>
          <w:szCs w:val="24"/>
        </w:rPr>
        <w:t xml:space="preserve"> te sredstva za psiho dijagnostiku u ukupnom </w:t>
      </w:r>
      <w:r>
        <w:rPr>
          <w:rFonts w:ascii="Times New Roman" w:hAnsi="Times New Roman" w:cs="Times New Roman"/>
          <w:bCs/>
          <w:sz w:val="24"/>
          <w:szCs w:val="24"/>
        </w:rPr>
        <w:t xml:space="preserve">iznosu </w:t>
      </w:r>
      <w:r>
        <w:rPr>
          <w:rFonts w:ascii="Times New Roman" w:hAnsi="Times New Roman" w:cs="Times New Roman"/>
          <w:bCs/>
          <w:sz w:val="24"/>
          <w:szCs w:val="24"/>
        </w:rPr>
        <w:t xml:space="preserve">5.596,95 EUR, </w:t>
      </w:r>
      <w:r>
        <w:rPr>
          <w:rFonts w:ascii="Times New Roman" w:hAnsi="Times New Roman" w:cs="Times New Roman"/>
          <w:bCs/>
          <w:sz w:val="24"/>
          <w:szCs w:val="24"/>
        </w:rPr>
        <w:t xml:space="preserve">prijevoz učenika s </w:t>
      </w:r>
      <w:r>
        <w:rPr>
          <w:rFonts w:ascii="Times New Roman" w:hAnsi="Times New Roman" w:cs="Times New Roman"/>
          <w:sz w:val="24"/>
          <w:szCs w:val="24"/>
        </w:rPr>
        <w:t xml:space="preserve">poteškoćama u razvoju </w:t>
      </w:r>
      <w:r>
        <w:rPr>
          <w:rFonts w:ascii="Times New Roman" w:hAnsi="Times New Roman" w:cs="Times New Roman"/>
          <w:bCs/>
          <w:sz w:val="24"/>
          <w:szCs w:val="24"/>
        </w:rPr>
        <w:t xml:space="preserve">u iznosu od </w:t>
      </w:r>
      <w:r>
        <w:rPr>
          <w:rFonts w:ascii="Times New Roman" w:hAnsi="Times New Roman" w:cs="Times New Roman"/>
          <w:bCs/>
          <w:sz w:val="24"/>
          <w:szCs w:val="24"/>
        </w:rPr>
        <w:t xml:space="preserve">22.902,10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EUR </w:t>
      </w:r>
      <w:r>
        <w:rPr>
          <w:rFonts w:ascii="Times New Roman" w:hAnsi="Times New Roman" w:cs="Times New Roman"/>
          <w:bCs/>
          <w:sz w:val="24"/>
          <w:szCs w:val="24"/>
        </w:rPr>
        <w:t xml:space="preserve">te sredstva za opremanje š</w:t>
      </w:r>
      <w:r>
        <w:rPr>
          <w:rFonts w:ascii="Times New Roman" w:hAnsi="Times New Roman" w:cs="Times New Roman"/>
          <w:bCs/>
          <w:sz w:val="24"/>
          <w:szCs w:val="24"/>
        </w:rPr>
        <w:t xml:space="preserve">kolske knjižnice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</w:t>
      </w:r>
      <w:r>
        <w:rPr>
          <w:rFonts w:ascii="Times New Roman" w:hAnsi="Times New Roman" w:cs="Times New Roman"/>
          <w:bCs/>
          <w:sz w:val="24"/>
          <w:szCs w:val="24"/>
        </w:rPr>
        <w:t xml:space="preserve">bveznom lektirom i stručnom literaturom u  iznosu od 7</w:t>
      </w:r>
      <w:r>
        <w:rPr>
          <w:rFonts w:ascii="Times New Roman" w:hAnsi="Times New Roman" w:cs="Times New Roman"/>
          <w:bCs/>
          <w:sz w:val="24"/>
          <w:szCs w:val="24"/>
        </w:rPr>
        <w:t xml:space="preserve">50</w:t>
      </w:r>
      <w:r>
        <w:rPr>
          <w:rFonts w:ascii="Times New Roman" w:hAnsi="Times New Roman" w:cs="Times New Roman"/>
          <w:bCs/>
          <w:sz w:val="24"/>
          <w:szCs w:val="24"/>
        </w:rPr>
        <w:t xml:space="preserve">,00 EUR.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Rast </w:t>
      </w:r>
      <w:r>
        <w:rPr>
          <w:rFonts w:ascii="Times New Roman" w:hAnsi="Times New Roman" w:cs="Times New Roman"/>
          <w:sz w:val="24"/>
          <w:szCs w:val="24"/>
        </w:rPr>
        <w:t xml:space="preserve">u odnosu na prošlu godinu u iznosu od </w:t>
      </w:r>
      <w:r>
        <w:rPr>
          <w:rFonts w:ascii="Times New Roman" w:hAnsi="Times New Roman" w:cs="Times New Roman"/>
          <w:sz w:val="24"/>
          <w:szCs w:val="24"/>
        </w:rPr>
        <w:t xml:space="preserve">3,81</w:t>
      </w:r>
      <w:r>
        <w:rPr>
          <w:rFonts w:ascii="Times New Roman" w:hAnsi="Times New Roman" w:cs="Times New Roman"/>
          <w:sz w:val="24"/>
          <w:szCs w:val="24"/>
        </w:rPr>
        <w:t xml:space="preserve"> % dogodio se </w:t>
      </w:r>
      <w:r>
        <w:rPr>
          <w:rFonts w:ascii="Times New Roman" w:hAnsi="Times New Roman" w:cs="Times New Roman"/>
          <w:sz w:val="24"/>
          <w:szCs w:val="24"/>
        </w:rPr>
        <w:t xml:space="preserve">zbog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Odluke o visini osnovice za obračun plaće u javnim službama u 2025. godini te povećanja osobnog odbitka te provođenja nove porezne reforme.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638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pomoći temeljem prijenosa EU sredstava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škola je dobila završnu isplatu za </w:t>
      </w:r>
      <w:r>
        <w:rPr>
          <w:rFonts w:ascii="Times New Roman" w:hAnsi="Times New Roman" w:cs="Times New Roman"/>
          <w:sz w:val="24"/>
          <w:szCs w:val="24"/>
        </w:rPr>
        <w:t xml:space="preserve">Erasmus</w:t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i/>
          <w:sz w:val="24"/>
          <w:szCs w:val="24"/>
        </w:rPr>
        <w:t xml:space="preserve">„Različiti zajedno“</w:t>
      </w:r>
      <w:r>
        <w:rPr>
          <w:rFonts w:ascii="Times New Roman" w:hAnsi="Times New Roman" w:cs="Times New Roman"/>
          <w:sz w:val="24"/>
          <w:szCs w:val="24"/>
        </w:rPr>
        <w:t xml:space="preserve"> projekt čija je provedba </w:t>
      </w:r>
      <w:r>
        <w:rPr>
          <w:rFonts w:ascii="Times New Roman" w:hAnsi="Times New Roman" w:cs="Times New Roman"/>
          <w:sz w:val="24"/>
          <w:szCs w:val="24"/>
        </w:rPr>
        <w:t xml:space="preserve">uspješno </w:t>
      </w:r>
      <w:r>
        <w:rPr>
          <w:rFonts w:ascii="Times New Roman" w:hAnsi="Times New Roman" w:cs="Times New Roman"/>
          <w:sz w:val="24"/>
          <w:szCs w:val="24"/>
        </w:rPr>
        <w:t xml:space="preserve">završila u prvoj polovici 2024. godine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639 – p</w:t>
      </w:r>
      <w:r>
        <w:rPr>
          <w:rFonts w:ascii="Times New Roman" w:hAnsi="Times New Roman" w:cs="Times New Roman"/>
          <w:bCs/>
          <w:sz w:val="24"/>
          <w:szCs w:val="24"/>
        </w:rPr>
        <w:t xml:space="preserve">rijenosi između proračunskih korisnika istog proračuna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indeks izvršenja u odnosu na prošlu godinu iznosi </w:t>
      </w:r>
      <w:r>
        <w:rPr>
          <w:rFonts w:ascii="Times New Roman" w:hAnsi="Times New Roman" w:cs="Times New Roman"/>
          <w:bCs/>
          <w:sz w:val="24"/>
          <w:szCs w:val="24"/>
        </w:rPr>
        <w:t xml:space="preserve">409,13</w:t>
      </w:r>
      <w:r>
        <w:rPr>
          <w:rFonts w:ascii="Times New Roman" w:hAnsi="Times New Roman" w:cs="Times New Roman"/>
          <w:bCs/>
          <w:sz w:val="24"/>
          <w:szCs w:val="24"/>
        </w:rPr>
        <w:t xml:space="preserve"> % i </w:t>
      </w:r>
      <w:r>
        <w:rPr>
          <w:rFonts w:ascii="Times New Roman" w:hAnsi="Times New Roman" w:cs="Times New Roman"/>
          <w:bCs/>
          <w:sz w:val="24"/>
          <w:szCs w:val="24"/>
        </w:rPr>
        <w:t xml:space="preserve">veći</w:t>
      </w:r>
      <w:r>
        <w:rPr>
          <w:rFonts w:ascii="Times New Roman" w:hAnsi="Times New Roman" w:cs="Times New Roman"/>
          <w:bCs/>
          <w:sz w:val="24"/>
          <w:szCs w:val="24"/>
        </w:rPr>
        <w:t xml:space="preserve"> je zbog </w:t>
      </w:r>
      <w:r>
        <w:rPr>
          <w:rFonts w:ascii="Times New Roman" w:hAnsi="Times New Roman" w:cs="Times New Roman"/>
          <w:bCs/>
          <w:sz w:val="24"/>
          <w:szCs w:val="24"/>
        </w:rPr>
        <w:t xml:space="preserve">povećanja</w:t>
      </w:r>
      <w:r>
        <w:rPr>
          <w:rFonts w:ascii="Times New Roman" w:hAnsi="Times New Roman" w:cs="Times New Roman"/>
          <w:bCs/>
          <w:sz w:val="24"/>
          <w:szCs w:val="24"/>
        </w:rPr>
        <w:t xml:space="preserve"> prihoda koji </w:t>
      </w:r>
      <w:r>
        <w:rPr>
          <w:rFonts w:ascii="Times New Roman" w:hAnsi="Times New Roman" w:cs="Times New Roman"/>
          <w:sz w:val="24"/>
          <w:szCs w:val="24"/>
        </w:rPr>
        <w:t xml:space="preserve">s</w:t>
      </w:r>
      <w:r>
        <w:rPr>
          <w:rFonts w:ascii="Times New Roman" w:hAnsi="Times New Roman" w:cs="Times New Roman"/>
          <w:sz w:val="24"/>
          <w:szCs w:val="24"/>
        </w:rPr>
        <w:t xml:space="preserve">e odnosi na financiranje </w:t>
      </w:r>
      <w:r>
        <w:rPr>
          <w:rFonts w:ascii="Times New Roman" w:hAnsi="Times New Roman" w:cs="Times New Roman"/>
          <w:sz w:val="24"/>
          <w:szCs w:val="24"/>
        </w:rPr>
        <w:t xml:space="preserve">plaće</w:t>
      </w:r>
      <w:r>
        <w:rPr>
          <w:rFonts w:ascii="Times New Roman" w:hAnsi="Times New Roman" w:cs="Times New Roman"/>
          <w:sz w:val="24"/>
          <w:szCs w:val="24"/>
        </w:rPr>
        <w:t xml:space="preserve"> i doprinosa na plaće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Pomoćnika u </w:t>
      </w:r>
      <w:r>
        <w:rPr>
          <w:rFonts w:ascii="Times New Roman" w:hAnsi="Times New Roman" w:cs="Times New Roman"/>
          <w:sz w:val="24"/>
          <w:szCs w:val="24"/>
        </w:rPr>
        <w:t xml:space="preserve">nastavi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Inkluzija</w:t>
      </w:r>
      <w:r>
        <w:rPr>
          <w:rFonts w:ascii="Times New Roman" w:hAnsi="Times New Roman" w:cs="Times New Roman"/>
          <w:i/>
          <w:sz w:val="24"/>
          <w:szCs w:val="24"/>
        </w:rPr>
        <w:t xml:space="preserve"> – korak bliže društvu bez prepreka</w:t>
      </w:r>
      <w:r>
        <w:rPr>
          <w:rFonts w:ascii="Times New Roman" w:hAnsi="Times New Roman" w:cs="Times New Roman"/>
          <w:i/>
          <w:sz w:val="24"/>
          <w:szCs w:val="24"/>
        </w:rPr>
        <w:t xml:space="preserve"> faza V</w:t>
      </w:r>
      <w:r>
        <w:rPr>
          <w:rFonts w:ascii="Times New Roman" w:hAnsi="Times New Roman" w:cs="Times New Roman"/>
          <w:i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iz izvora 51 Državni proračun i 54 Pomoći iz inozemstva.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 –</w:t>
      </w:r>
      <w:r>
        <w:rPr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</w:t>
      </w:r>
      <w:r>
        <w:rPr>
          <w:rFonts w:ascii="Times New Roman" w:hAnsi="Times New Roman" w:cs="Times New Roman"/>
          <w:sz w:val="24"/>
          <w:szCs w:val="24"/>
        </w:rPr>
        <w:t xml:space="preserve">rihodi od upravnih i administrativnih pristojbi, pristojbi po posebnim propisima i naknada</w:t>
      </w:r>
      <w:r>
        <w:rPr>
          <w:rFonts w:ascii="Times New Roman" w:hAnsi="Times New Roman" w:cs="Times New Roman"/>
          <w:sz w:val="24"/>
          <w:szCs w:val="24"/>
        </w:rPr>
        <w:t xml:space="preserve"> – indeks izvršenja u odnosu na prošlu je </w:t>
      </w:r>
      <w:r>
        <w:rPr>
          <w:rFonts w:ascii="Times New Roman" w:hAnsi="Times New Roman" w:cs="Times New Roman"/>
          <w:sz w:val="24"/>
          <w:szCs w:val="24"/>
        </w:rPr>
        <w:t xml:space="preserve">veći</w:t>
      </w:r>
      <w:r>
        <w:rPr>
          <w:rFonts w:ascii="Times New Roman" w:hAnsi="Times New Roman" w:cs="Times New Roman"/>
          <w:sz w:val="24"/>
          <w:szCs w:val="24"/>
        </w:rPr>
        <w:t xml:space="preserve"> jer se </w:t>
      </w:r>
      <w:r>
        <w:rPr>
          <w:rFonts w:ascii="Times New Roman" w:hAnsi="Times New Roman" w:cs="Times New Roman"/>
          <w:sz w:val="24"/>
          <w:szCs w:val="24"/>
        </w:rPr>
        <w:t xml:space="preserve">povećao</w:t>
      </w:r>
      <w:r>
        <w:rPr>
          <w:rFonts w:ascii="Times New Roman" w:hAnsi="Times New Roman" w:cs="Times New Roman"/>
          <w:sz w:val="24"/>
          <w:szCs w:val="24"/>
        </w:rPr>
        <w:t xml:space="preserve"> prihod od izdavanja duplikata svjedodžbi. </w:t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66 – p</w:t>
      </w:r>
      <w:r>
        <w:rPr>
          <w:rFonts w:ascii="Times New Roman" w:hAnsi="Times New Roman" w:cs="Times New Roman"/>
          <w:bCs/>
          <w:sz w:val="24"/>
          <w:szCs w:val="24"/>
        </w:rPr>
        <w:t xml:space="preserve">rihodi od prodaje proizvoda i robe te pružen</w:t>
      </w:r>
      <w:r>
        <w:rPr>
          <w:rFonts w:ascii="Times New Roman" w:hAnsi="Times New Roman" w:cs="Times New Roman"/>
          <w:bCs/>
          <w:sz w:val="24"/>
          <w:szCs w:val="24"/>
        </w:rPr>
        <w:t xml:space="preserve">ih usluga i prihodi od donacija – ukupno ostvareni prihodi su </w:t>
      </w:r>
      <w:r>
        <w:rPr>
          <w:rFonts w:ascii="Times New Roman" w:hAnsi="Times New Roman" w:cs="Times New Roman"/>
          <w:bCs/>
          <w:sz w:val="24"/>
          <w:szCs w:val="24"/>
        </w:rPr>
        <w:t xml:space="preserve">manji</w:t>
      </w:r>
      <w:r>
        <w:rPr>
          <w:rFonts w:ascii="Times New Roman" w:hAnsi="Times New Roman" w:cs="Times New Roman"/>
          <w:bCs/>
          <w:sz w:val="24"/>
          <w:szCs w:val="24"/>
        </w:rPr>
        <w:t xml:space="preserve"> u odnosu na prošlu godinu jer je došlo do </w:t>
      </w:r>
      <w:r>
        <w:rPr>
          <w:rFonts w:ascii="Times New Roman" w:hAnsi="Times New Roman" w:cs="Times New Roman"/>
          <w:bCs/>
          <w:sz w:val="24"/>
          <w:szCs w:val="24"/>
        </w:rPr>
        <w:t xml:space="preserve">smanjenja</w:t>
      </w:r>
      <w:r>
        <w:rPr>
          <w:rFonts w:ascii="Times New Roman" w:hAnsi="Times New Roman" w:cs="Times New Roman"/>
          <w:bCs/>
          <w:sz w:val="24"/>
          <w:szCs w:val="24"/>
        </w:rPr>
        <w:t xml:space="preserve"> prihoda od najmova </w:t>
      </w:r>
      <w:r>
        <w:rPr>
          <w:rFonts w:ascii="Times New Roman" w:hAnsi="Times New Roman" w:cs="Times New Roman"/>
          <w:sz w:val="24"/>
          <w:szCs w:val="24"/>
        </w:rPr>
        <w:t xml:space="preserve">školskog prostora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smanjenja</w:t>
      </w:r>
      <w:r>
        <w:rPr>
          <w:rFonts w:ascii="Times New Roman" w:hAnsi="Times New Roman" w:cs="Times New Roman"/>
          <w:sz w:val="24"/>
          <w:szCs w:val="24"/>
        </w:rPr>
        <w:t xml:space="preserve"> aktivnosti usluge pripreme hrane za </w:t>
      </w:r>
      <w:r>
        <w:rPr>
          <w:rFonts w:ascii="Times New Roman" w:hAnsi="Times New Roman" w:cs="Times New Roman"/>
          <w:sz w:val="24"/>
          <w:szCs w:val="24"/>
        </w:rPr>
        <w:t xml:space="preserve">razne manifestacije</w:t>
      </w:r>
      <w:r>
        <w:rPr>
          <w:rFonts w:ascii="Times New Roman" w:hAnsi="Times New Roman" w:cs="Times New Roman"/>
          <w:sz w:val="24"/>
          <w:szCs w:val="24"/>
        </w:rPr>
        <w:t xml:space="preserve"> 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škola </w:t>
      </w:r>
      <w:r>
        <w:rPr>
          <w:rFonts w:ascii="Times New Roman" w:hAnsi="Times New Roman" w:cs="Times New Roman"/>
          <w:sz w:val="24"/>
          <w:szCs w:val="24"/>
        </w:rPr>
        <w:t xml:space="preserve">nije </w:t>
      </w:r>
      <w:r>
        <w:rPr>
          <w:rFonts w:ascii="Times New Roman" w:hAnsi="Times New Roman" w:cs="Times New Roman"/>
          <w:sz w:val="24"/>
          <w:szCs w:val="24"/>
        </w:rPr>
        <w:t xml:space="preserve">primila </w:t>
      </w:r>
      <w:r>
        <w:rPr>
          <w:rFonts w:ascii="Times New Roman" w:hAnsi="Times New Roman" w:cs="Times New Roman"/>
          <w:sz w:val="24"/>
          <w:szCs w:val="24"/>
        </w:rPr>
        <w:t xml:space="preserve">nikakve </w:t>
      </w:r>
      <w:r>
        <w:rPr>
          <w:rFonts w:ascii="Times New Roman" w:hAnsi="Times New Roman" w:cs="Times New Roman"/>
          <w:sz w:val="24"/>
          <w:szCs w:val="24"/>
        </w:rPr>
        <w:t xml:space="preserve">donacije</w:t>
      </w:r>
      <w:r>
        <w:rPr>
          <w:rFonts w:ascii="Times New Roman" w:hAnsi="Times New Roman" w:cs="Times New Roman"/>
          <w:sz w:val="24"/>
          <w:szCs w:val="24"/>
        </w:rPr>
        <w:t xml:space="preserve"> za razliku od godine ranije kad je primila donacije</w:t>
      </w:r>
      <w:r>
        <w:rPr>
          <w:rFonts w:ascii="Times New Roman" w:hAnsi="Times New Roman" w:cs="Times New Roman"/>
          <w:sz w:val="24"/>
          <w:szCs w:val="24"/>
        </w:rPr>
        <w:t xml:space="preserve"> od raznih </w:t>
      </w:r>
      <w:r>
        <w:rPr>
          <w:rFonts w:ascii="Times New Roman" w:hAnsi="Times New Roman" w:cs="Times New Roman"/>
          <w:sz w:val="24"/>
          <w:szCs w:val="24"/>
        </w:rPr>
        <w:t xml:space="preserve">partnera</w:t>
      </w:r>
      <w:r>
        <w:rPr>
          <w:rFonts w:ascii="Times New Roman" w:hAnsi="Times New Roman" w:cs="Times New Roman"/>
          <w:sz w:val="24"/>
          <w:szCs w:val="24"/>
        </w:rPr>
        <w:t xml:space="preserve"> zbog sudjelovanja i doprinosa u uspješnom izvođenju humanitarne akcije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Tuna,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sushi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&amp;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wine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festival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67 – p</w:t>
      </w:r>
      <w:r>
        <w:rPr>
          <w:rFonts w:ascii="Times New Roman" w:hAnsi="Times New Roman" w:cs="Times New Roman"/>
          <w:bCs/>
          <w:sz w:val="24"/>
          <w:szCs w:val="24"/>
        </w:rPr>
        <w:t xml:space="preserve">rihodi iz nadležnog proračuna i od H</w:t>
      </w:r>
      <w:r>
        <w:rPr>
          <w:rFonts w:ascii="Times New Roman" w:hAnsi="Times New Roman" w:cs="Times New Roman"/>
          <w:bCs/>
          <w:sz w:val="24"/>
          <w:szCs w:val="24"/>
        </w:rPr>
        <w:t xml:space="preserve">ZZO-a temeljem ugovornih obveza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i</w:t>
      </w:r>
      <w:r>
        <w:rPr>
          <w:rFonts w:ascii="Times New Roman" w:hAnsi="Times New Roman" w:cs="Times New Roman"/>
          <w:bCs/>
          <w:sz w:val="24"/>
          <w:szCs w:val="24"/>
        </w:rPr>
        <w:t xml:space="preserve">ndeks izvršenja u odnosu na 2024. godinu iznosi 131,92 %. </w:t>
      </w:r>
      <w:r>
        <w:rPr>
          <w:rFonts w:ascii="Times New Roman" w:hAnsi="Times New Roman" w:cs="Times New Roman"/>
          <w:bCs/>
          <w:sz w:val="24"/>
          <w:szCs w:val="24"/>
        </w:rPr>
        <w:t xml:space="preserve">Z</w:t>
      </w:r>
      <w:r>
        <w:rPr>
          <w:rFonts w:ascii="Times New Roman" w:hAnsi="Times New Roman" w:cs="Times New Roman"/>
          <w:bCs/>
          <w:sz w:val="24"/>
          <w:szCs w:val="24"/>
        </w:rPr>
        <w:t xml:space="preserve">načajno povećanje rezultat je rebalansa proračuna za 2025. godinu, kojim su osigurana dodatna sredstva </w:t>
      </w:r>
      <w:r>
        <w:rPr>
          <w:rFonts w:ascii="Times New Roman" w:hAnsi="Times New Roman" w:cs="Times New Roman"/>
          <w:bCs/>
          <w:sz w:val="24"/>
          <w:szCs w:val="24"/>
        </w:rPr>
        <w:t xml:space="preserve">iz nadležnog proračuna </w:t>
      </w:r>
      <w:r>
        <w:rPr>
          <w:rFonts w:ascii="Times New Roman" w:hAnsi="Times New Roman" w:cs="Times New Roman"/>
          <w:bCs/>
          <w:sz w:val="24"/>
          <w:szCs w:val="24"/>
        </w:rPr>
        <w:t xml:space="preserve">za redovno poslovanje uslijed porasta materijalnih troškova.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Uz to, </w:t>
      </w:r>
      <w:r>
        <w:rPr>
          <w:rFonts w:ascii="Times New Roman" w:hAnsi="Times New Roman" w:cs="Times New Roman"/>
          <w:bCs/>
          <w:sz w:val="24"/>
          <w:szCs w:val="24"/>
        </w:rPr>
        <w:t xml:space="preserve">nadležni proračun</w:t>
      </w:r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r>
        <w:rPr>
          <w:rFonts w:ascii="Times New Roman" w:hAnsi="Times New Roman" w:cs="Times New Roman"/>
          <w:bCs/>
          <w:sz w:val="24"/>
          <w:szCs w:val="24"/>
        </w:rPr>
        <w:t xml:space="preserve">financirao nabavku</w:t>
      </w:r>
      <w:r>
        <w:rPr>
          <w:rFonts w:ascii="Times New Roman" w:hAnsi="Times New Roman" w:cs="Times New Roman"/>
          <w:bCs/>
          <w:sz w:val="24"/>
          <w:szCs w:val="24"/>
        </w:rPr>
        <w:t xml:space="preserve"> udž</w:t>
      </w:r>
      <w:r>
        <w:rPr>
          <w:rFonts w:ascii="Times New Roman" w:hAnsi="Times New Roman" w:cs="Times New Roman"/>
          <w:bCs/>
          <w:sz w:val="24"/>
          <w:szCs w:val="24"/>
        </w:rPr>
        <w:t xml:space="preserve">benika za deficitarna zanimanja i v</w:t>
      </w:r>
      <w:r>
        <w:rPr>
          <w:rFonts w:ascii="Times New Roman" w:hAnsi="Times New Roman" w:cs="Times New Roman"/>
          <w:bCs/>
          <w:sz w:val="24"/>
          <w:szCs w:val="24"/>
        </w:rPr>
        <w:t xml:space="preserve">eći </w:t>
      </w:r>
      <w:r>
        <w:rPr>
          <w:rFonts w:ascii="Times New Roman" w:hAnsi="Times New Roman" w:cs="Times New Roman"/>
          <w:bCs/>
          <w:sz w:val="24"/>
          <w:szCs w:val="24"/>
        </w:rPr>
        <w:t xml:space="preserve">se </w:t>
      </w:r>
      <w:r>
        <w:rPr>
          <w:rFonts w:ascii="Times New Roman" w:hAnsi="Times New Roman" w:cs="Times New Roman"/>
          <w:bCs/>
          <w:sz w:val="24"/>
          <w:szCs w:val="24"/>
        </w:rPr>
        <w:t xml:space="preserve">dio plać</w:t>
      </w:r>
      <w:r>
        <w:rPr>
          <w:rFonts w:ascii="Times New Roman" w:hAnsi="Times New Roman" w:cs="Times New Roman"/>
          <w:bCs/>
          <w:sz w:val="24"/>
          <w:szCs w:val="24"/>
        </w:rPr>
        <w:t xml:space="preserve">a pomoćnika u nastavi financirao</w:t>
      </w:r>
      <w:r>
        <w:rPr>
          <w:rFonts w:ascii="Times New Roman" w:hAnsi="Times New Roman" w:cs="Times New Roman"/>
          <w:bCs/>
          <w:sz w:val="24"/>
          <w:szCs w:val="24"/>
        </w:rPr>
        <w:t xml:space="preserve"> iz županijskih sredstava.</w:t>
      </w:r>
    </w:p>
    <w:p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>
      <w:pPr>
        <w:pStyle w:val="Odlomakpopisa"/>
        <w:numPr>
          <w:ilvl w:val="2"/>
          <w:numId w:val="17"/>
        </w:num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Rashodi</w:t>
      </w:r>
    </w:p>
    <w:p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31 – rashodi za zaposlene – ostvareno je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103,59 </w:t>
      </w:r>
      <w:r>
        <w:rPr>
          <w:rFonts w:ascii="Times New Roman" w:hAnsi="Times New Roman" w:cs="Times New Roman"/>
          <w:bCs/>
          <w:sz w:val="24"/>
          <w:szCs w:val="24"/>
        </w:rPr>
        <w:t xml:space="preserve">% u odnosu na planirano</w:t>
      </w:r>
      <w:r>
        <w:rPr>
          <w:rFonts w:ascii="Times New Roman" w:hAnsi="Times New Roman" w:cs="Times New Roman"/>
          <w:bCs/>
          <w:sz w:val="24"/>
          <w:szCs w:val="24"/>
        </w:rPr>
        <w:t xml:space="preserve"> te </w:t>
      </w:r>
      <w:r>
        <w:rPr>
          <w:rFonts w:ascii="Times New Roman" w:hAnsi="Times New Roman" w:cs="Times New Roman"/>
          <w:bCs/>
          <w:sz w:val="24"/>
          <w:szCs w:val="24"/>
        </w:rPr>
        <w:t xml:space="preserve">114,13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% u odnosu na 2024</w:t>
      </w:r>
      <w:r>
        <w:rPr>
          <w:rFonts w:ascii="Times New Roman" w:hAnsi="Times New Roman" w:cs="Times New Roman"/>
          <w:bCs/>
          <w:sz w:val="24"/>
          <w:szCs w:val="24"/>
        </w:rPr>
        <w:t xml:space="preserve">. godinu. Do povećanja </w:t>
      </w:r>
      <w:r>
        <w:rPr>
          <w:rFonts w:ascii="Times New Roman" w:hAnsi="Times New Roman" w:cs="Times New Roman"/>
          <w:bCs/>
          <w:sz w:val="24"/>
          <w:szCs w:val="24"/>
        </w:rPr>
        <w:t xml:space="preserve">je</w:t>
      </w:r>
      <w:r>
        <w:rPr>
          <w:rFonts w:ascii="Times New Roman" w:hAnsi="Times New Roman" w:cs="Times New Roman"/>
          <w:bCs/>
          <w:sz w:val="24"/>
          <w:szCs w:val="24"/>
        </w:rPr>
        <w:t xml:space="preserve"> došlo zbog ukidanja kontinuiranih troškova, zbog čega su plaće i materijalna prava za mjesec prosinac izravno knjiženi na rashode. Uz navedeno, došlo je do povećanja plaće zbog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stupanja na snagu</w:t>
      </w:r>
      <w:r>
        <w:rPr>
          <w:rFonts w:ascii="Times New Roman" w:hAnsi="Times New Roman" w:cs="Times New Roman"/>
          <w:sz w:val="24"/>
          <w:szCs w:val="24"/>
        </w:rPr>
        <w:t xml:space="preserve"> Odluke o visini osnovice za obračun plaće u javnim službama u 2025. godini, povećanja osobnog odbitka, provođenja nove </w:t>
      </w:r>
      <w:r>
        <w:rPr>
          <w:rFonts w:ascii="Times New Roman" w:hAnsi="Times New Roman" w:cs="Times New Roman"/>
          <w:sz w:val="24"/>
          <w:szCs w:val="24"/>
        </w:rPr>
        <w:t xml:space="preserve">porezne reforme te rasta troškova plaća pomoćnika u nastavi zbog većeg broja angažiranih pomoćnika u odnosu na prethodnu godinu te povećanja njihove bruto satnice.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 – materijalni rashodi – ostvareno je </w:t>
      </w:r>
      <w:r>
        <w:rPr>
          <w:rFonts w:ascii="Times New Roman" w:hAnsi="Times New Roman" w:cs="Times New Roman"/>
          <w:sz w:val="24"/>
          <w:szCs w:val="24"/>
        </w:rPr>
        <w:t xml:space="preserve">138,27 % u odnosu na 2024</w:t>
      </w:r>
      <w:r>
        <w:rPr>
          <w:rFonts w:ascii="Times New Roman" w:hAnsi="Times New Roman" w:cs="Times New Roman"/>
          <w:sz w:val="24"/>
          <w:szCs w:val="24"/>
        </w:rPr>
        <w:t xml:space="preserve">. godinu. Došlo je do </w:t>
      </w:r>
      <w:r>
        <w:rPr>
          <w:rFonts w:ascii="Times New Roman" w:hAnsi="Times New Roman" w:cs="Times New Roman"/>
          <w:sz w:val="24"/>
          <w:szCs w:val="24"/>
        </w:rPr>
        <w:t xml:space="preserve">povećanja</w:t>
      </w:r>
      <w:r>
        <w:rPr>
          <w:rFonts w:ascii="Times New Roman" w:hAnsi="Times New Roman" w:cs="Times New Roman"/>
          <w:sz w:val="24"/>
          <w:szCs w:val="24"/>
        </w:rPr>
        <w:t xml:space="preserve"> rashoda jer</w:t>
      </w:r>
      <w:r>
        <w:rPr>
          <w:rFonts w:ascii="Times New Roman" w:hAnsi="Times New Roman" w:cs="Times New Roman"/>
          <w:sz w:val="24"/>
          <w:szCs w:val="24"/>
        </w:rPr>
        <w:t xml:space="preserve"> se naknada za prijevoz za mjesec prosinac 2025. godine izravno knjižila na rashod. Povećali su </w:t>
      </w:r>
      <w:r>
        <w:rPr>
          <w:rFonts w:ascii="Times New Roman" w:hAnsi="Times New Roman" w:cs="Times New Roman"/>
          <w:sz w:val="24"/>
          <w:szCs w:val="24"/>
        </w:rPr>
        <w:t xml:space="preserve">se rashod</w:t>
      </w:r>
      <w:r>
        <w:rPr>
          <w:rFonts w:ascii="Times New Roman" w:hAnsi="Times New Roman" w:cs="Times New Roman"/>
          <w:sz w:val="24"/>
          <w:szCs w:val="24"/>
        </w:rPr>
        <w:t xml:space="preserve">i</w:t>
      </w:r>
      <w:r>
        <w:rPr>
          <w:rFonts w:ascii="Times New Roman" w:hAnsi="Times New Roman" w:cs="Times New Roman"/>
          <w:sz w:val="24"/>
          <w:szCs w:val="24"/>
        </w:rPr>
        <w:t xml:space="preserve"> za materijal koj</w:t>
      </w:r>
      <w:r>
        <w:rPr>
          <w:rFonts w:ascii="Times New Roman" w:hAnsi="Times New Roman" w:cs="Times New Roman"/>
          <w:sz w:val="24"/>
          <w:szCs w:val="24"/>
        </w:rPr>
        <w:t xml:space="preserve">i se koristi u nastavi, uredski materijal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sredstva za osobnu higijenu i sredstva</w:t>
      </w:r>
      <w:r>
        <w:rPr>
          <w:rFonts w:ascii="Times New Roman" w:hAnsi="Times New Roman" w:cs="Times New Roman"/>
          <w:sz w:val="24"/>
          <w:szCs w:val="24"/>
        </w:rPr>
        <w:t xml:space="preserve"> za čišćenje</w:t>
      </w:r>
      <w:r>
        <w:rPr>
          <w:rFonts w:ascii="Times New Roman" w:hAnsi="Times New Roman" w:cs="Times New Roman"/>
          <w:sz w:val="24"/>
          <w:szCs w:val="24"/>
        </w:rPr>
        <w:t xml:space="preserve">. Rasla je cijena i potrošnja loživog ulja za grijanje te materijala za potrebe tekućeg održavanja unutar prostora škole. </w:t>
      </w:r>
      <w:r>
        <w:rPr>
          <w:rFonts w:ascii="Times New Roman" w:hAnsi="Times New Roman" w:cs="Times New Roman"/>
          <w:bCs/>
          <w:sz w:val="24"/>
          <w:szCs w:val="24"/>
        </w:rPr>
        <w:t xml:space="preserve">Povećali </w:t>
      </w:r>
      <w:r>
        <w:rPr>
          <w:rFonts w:ascii="Times New Roman" w:hAnsi="Times New Roman" w:cs="Times New Roman"/>
          <w:bCs/>
          <w:sz w:val="24"/>
          <w:szCs w:val="24"/>
        </w:rPr>
        <w:t xml:space="preserve">su se rashodi za prijevoz</w:t>
      </w:r>
      <w:r>
        <w:rPr>
          <w:rFonts w:ascii="Times New Roman" w:hAnsi="Times New Roman" w:cs="Times New Roman"/>
          <w:bCs/>
          <w:sz w:val="24"/>
          <w:szCs w:val="24"/>
        </w:rPr>
        <w:t xml:space="preserve"> djece s poteškoćama u razvoju te usluge tekućeg održavanja škole. </w:t>
      </w:r>
      <w:r>
        <w:rPr>
          <w:rFonts w:ascii="Times New Roman" w:hAnsi="Times New Roman" w:cs="Times New Roman"/>
          <w:bCs/>
          <w:sz w:val="24"/>
          <w:szCs w:val="24"/>
        </w:rPr>
        <w:t xml:space="preserve">Također, plaćeno je više sudskih pristojbi u odnosu na godinu ranije koje se odnose na tužbe kojom su zaposlenici tužili školu zbog </w:t>
      </w:r>
      <w:r>
        <w:rPr>
          <w:rFonts w:ascii="Times New Roman" w:hAnsi="Times New Roman" w:cs="Times New Roman"/>
          <w:bCs/>
          <w:sz w:val="24"/>
          <w:szCs w:val="24"/>
        </w:rPr>
        <w:t xml:space="preserve">neisplaćenog dijela osnovice za izračun plaće u iznosu od 6 % te su se povećali izdaci za reprezentaciju.</w:t>
      </w:r>
    </w:p>
    <w:p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37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Naknade građanima i kućanstvima na temelju osiguranja i druge naknade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u 2025. godini nadležni proračun je financirao nabavku udžbenika za deficitarna zanimanja.</w:t>
      </w:r>
    </w:p>
    <w:p>
      <w:pPr>
        <w:spacing w:after="0" w:line="240" w:lineRule="auto"/>
        <w:jc w:val="both"/>
        <w:rPr>
          <w:rFonts w:ascii="Calibri" w:hAnsi="Calibri" w:eastAsia="Times New Roman" w:cs="Calibri"/>
          <w:b/>
          <w:bCs/>
          <w:color w:val="000000"/>
          <w:sz w:val="20"/>
          <w:szCs w:val="20"/>
          <w:lang w:eastAsia="hr-HR"/>
        </w:rPr>
      </w:pPr>
    </w:p>
    <w:p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 – rashodi za nabavu nefinancijske imovine – ostvareno je </w:t>
      </w:r>
      <w:r>
        <w:rPr>
          <w:rFonts w:ascii="Times New Roman" w:hAnsi="Times New Roman" w:cs="Times New Roman"/>
          <w:bCs/>
          <w:sz w:val="24"/>
          <w:szCs w:val="24"/>
        </w:rPr>
        <w:t xml:space="preserve">39,71 % u odnosu na 2024</w:t>
      </w:r>
      <w:r>
        <w:rPr>
          <w:rFonts w:ascii="Times New Roman" w:hAnsi="Times New Roman" w:cs="Times New Roman"/>
          <w:bCs/>
          <w:sz w:val="24"/>
          <w:szCs w:val="24"/>
        </w:rPr>
        <w:t xml:space="preserve">. godinu. Došlo je do znatnog smanjenja </w:t>
      </w:r>
      <w:r>
        <w:rPr>
          <w:rFonts w:ascii="Times New Roman" w:hAnsi="Times New Roman" w:cs="Times New Roman"/>
          <w:sz w:val="24"/>
          <w:szCs w:val="24"/>
        </w:rPr>
        <w:t xml:space="preserve">jer je škola u 2024</w:t>
      </w:r>
      <w:r>
        <w:rPr>
          <w:rFonts w:ascii="Times New Roman" w:hAnsi="Times New Roman" w:cs="Times New Roman"/>
          <w:sz w:val="24"/>
          <w:szCs w:val="24"/>
        </w:rPr>
        <w:t xml:space="preserve">. godini nabavila dvije klime, tri kompjutera i pet indukcijskih ploča za kuhanje vlastitim sredstvima i sredstvima od donacije te knjige</w:t>
      </w:r>
      <w:r>
        <w:rPr>
          <w:rFonts w:ascii="Times New Roman" w:hAnsi="Times New Roman" w:cs="Times New Roman"/>
          <w:sz w:val="24"/>
          <w:szCs w:val="24"/>
        </w:rPr>
        <w:t xml:space="preserve"> za knjižnicu sredstvima MZOM-a, dok je u 2025. godini kupila jedan projektor i garnituru za hol vlastitim sredstvima te knjige za knjižnicu sredstvima MZOM-a. </w:t>
      </w:r>
    </w:p>
    <w:p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>
      <w:pPr>
        <w:pStyle w:val="Odlomakpopisa"/>
        <w:numPr>
          <w:ilvl w:val="2"/>
          <w:numId w:val="17"/>
        </w:num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Manjak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prihoda</w:t>
      </w:r>
    </w:p>
    <w:p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>
      <w:p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Člankom 233. Pravilnika o proračunskom računovodstvu i Računskom planu, ukinula se podskupina računa 193. Kontinuirani rashodi budućih razdoblja zatvoreni su odobrenjem odgovarajućih osnovnih računa podskupine 193 te preneseni na rashode zaduženjem </w:t>
      </w:r>
      <w:r>
        <w:rPr>
          <w:rFonts w:ascii="Times New Roman" w:hAnsi="Times New Roman" w:cs="Times New Roman"/>
          <w:bCs/>
          <w:sz w:val="24"/>
          <w:szCs w:val="24"/>
        </w:rPr>
        <w:t xml:space="preserve"> o</w:t>
      </w:r>
      <w:r>
        <w:rPr>
          <w:rFonts w:ascii="Times New Roman" w:hAnsi="Times New Roman" w:cs="Times New Roman"/>
          <w:bCs/>
          <w:sz w:val="24"/>
          <w:szCs w:val="24"/>
        </w:rPr>
        <w:t xml:space="preserve">dgovarajućih osnovnih računa razreda 3 Rashodi poslovanja.</w:t>
      </w:r>
    </w:p>
    <w:p>
      <w:p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Plaće, materijalna prava radnika, prijevoz s posla i na posao te režijski troškovi za prosinac 2025. godine knjiženi su odmah na razred 3 čime je škola ostvarila manjak prihoda.</w:t>
      </w:r>
    </w:p>
    <w:p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/>
      </w:r>
    </w:p>
    <w:p>
      <w:pPr>
        <w:pStyle w:val="Odlomakpopisa"/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Izvještaj o prihodima i rashodima prema izvorima financiranja</w:t>
      </w:r>
    </w:p>
    <w:p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/>
        <w:ind w:left="-66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Škola se financira sredstvima</w:t>
      </w:r>
      <w:r>
        <w:rPr>
          <w:rFonts w:ascii="Times New Roman" w:hAnsi="Times New Roman" w:cs="Times New Roman"/>
          <w:sz w:val="24"/>
          <w:szCs w:val="24"/>
        </w:rPr>
        <w:t xml:space="preserve"> iz različitih izvora kako bi unaprijedila obrazovni proces i osigurala kvalitetnije uvjete rada.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Sredstvima </w:t>
      </w:r>
      <w:r>
        <w:rPr>
          <w:rFonts w:ascii="Times New Roman" w:hAnsi="Times New Roman" w:cs="Times New Roman"/>
          <w:sz w:val="24"/>
          <w:szCs w:val="24"/>
        </w:rPr>
        <w:t xml:space="preserve">Ministarstva znanosti, obrazovanja i</w:t>
      </w:r>
      <w:r>
        <w:rPr>
          <w:rFonts w:ascii="Times New Roman" w:hAnsi="Times New Roman" w:cs="Times New Roman"/>
          <w:sz w:val="24"/>
          <w:szCs w:val="24"/>
        </w:rPr>
        <w:t xml:space="preserve"> mladih</w:t>
      </w:r>
      <w:r>
        <w:rPr>
          <w:rFonts w:ascii="Times New Roman" w:hAnsi="Times New Roman" w:cs="Times New Roman"/>
          <w:sz w:val="24"/>
          <w:szCs w:val="24"/>
        </w:rPr>
        <w:t xml:space="preserve"> financiraju se </w:t>
      </w:r>
      <w:r>
        <w:rPr>
          <w:rFonts w:ascii="Times New Roman" w:hAnsi="Times New Roman" w:cs="Times New Roman"/>
          <w:sz w:val="24"/>
          <w:szCs w:val="24"/>
        </w:rPr>
        <w:t xml:space="preserve">plaće i doprinosi na plaće, materijalna prava</w:t>
      </w:r>
      <w:r>
        <w:rPr>
          <w:rFonts w:ascii="Times New Roman" w:hAnsi="Times New Roman" w:cs="Times New Roman"/>
          <w:sz w:val="24"/>
          <w:szCs w:val="24"/>
        </w:rPr>
        <w:t xml:space="preserve"> radnika iz Kolektivnog ugovora te</w:t>
      </w:r>
      <w:r>
        <w:rPr>
          <w:rFonts w:ascii="Times New Roman" w:hAnsi="Times New Roman" w:cs="Times New Roman"/>
          <w:sz w:val="24"/>
          <w:szCs w:val="24"/>
        </w:rPr>
        <w:t xml:space="preserve"> naknada za nezapoš</w:t>
      </w:r>
      <w:r>
        <w:rPr>
          <w:rFonts w:ascii="Times New Roman" w:hAnsi="Times New Roman" w:cs="Times New Roman"/>
          <w:sz w:val="24"/>
          <w:szCs w:val="24"/>
        </w:rPr>
        <w:t xml:space="preserve">ljavanje osoba s invaliditetom.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Decentralizirana sredstva</w:t>
      </w:r>
      <w:r>
        <w:rPr>
          <w:rFonts w:ascii="Times New Roman" w:hAnsi="Times New Roman" w:cs="Times New Roman"/>
          <w:sz w:val="24"/>
          <w:szCs w:val="24"/>
        </w:rPr>
        <w:t xml:space="preserve"> Zadarske županije </w:t>
      </w:r>
      <w:r>
        <w:rPr>
          <w:rFonts w:ascii="Times New Roman" w:hAnsi="Times New Roman" w:cs="Times New Roman"/>
          <w:sz w:val="24"/>
          <w:szCs w:val="24"/>
        </w:rPr>
        <w:t xml:space="preserve">namijenjena su pokrivanju </w:t>
      </w:r>
      <w:r>
        <w:rPr>
          <w:rFonts w:ascii="Times New Roman" w:hAnsi="Times New Roman" w:cs="Times New Roman"/>
          <w:sz w:val="24"/>
          <w:szCs w:val="24"/>
        </w:rPr>
        <w:t xml:space="preserve">materijalnih troškova i održavanju infrastrukture</w:t>
      </w:r>
      <w:r>
        <w:rPr>
          <w:rFonts w:ascii="Times New Roman" w:hAnsi="Times New Roman" w:cs="Times New Roman"/>
          <w:sz w:val="24"/>
          <w:szCs w:val="24"/>
        </w:rPr>
        <w:t xml:space="preserve">. Uz navedene izvore, škola svoje financiranje ostvaruje i putem </w:t>
      </w:r>
      <w:r>
        <w:rPr>
          <w:rFonts w:ascii="Times New Roman" w:hAnsi="Times New Roman" w:cs="Times New Roman"/>
          <w:sz w:val="24"/>
          <w:szCs w:val="24"/>
        </w:rPr>
        <w:t xml:space="preserve">vlastitih prihoda, donacija te sredstava dobivenih iz EU projekata, što omogućava daljnji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razvoj škole, modernizaciju nastave i poboljšanje uvjeta za učenike i nastavnike.</w:t>
      </w:r>
    </w:p>
    <w:p>
      <w:pPr>
        <w:spacing w:after="0"/>
        <w:ind w:left="-66" w:right="-142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Izvor 1 – opći prihodi i primici – indeks izvršenja u odnosu na prethodnu godinu iznosi </w:t>
      </w:r>
      <w:r>
        <w:rPr>
          <w:rFonts w:ascii="Times New Roman" w:hAnsi="Times New Roman" w:cs="Times New Roman"/>
          <w:bCs/>
          <w:sz w:val="24"/>
          <w:szCs w:val="24"/>
        </w:rPr>
        <w:t xml:space="preserve">166,56</w:t>
      </w:r>
      <w:r>
        <w:rPr>
          <w:rFonts w:ascii="Times New Roman" w:hAnsi="Times New Roman" w:cs="Times New Roman"/>
          <w:bCs/>
          <w:sz w:val="24"/>
          <w:szCs w:val="24"/>
        </w:rPr>
        <w:t xml:space="preserve"> %. Tu spadaju sredstva k</w:t>
      </w:r>
      <w:r>
        <w:rPr>
          <w:rFonts w:ascii="Times New Roman" w:hAnsi="Times New Roman" w:cs="Times New Roman"/>
          <w:bCs/>
          <w:sz w:val="24"/>
          <w:szCs w:val="24"/>
        </w:rPr>
        <w:t xml:space="preserve">oje je dao nadležni proračun </w:t>
      </w:r>
      <w:r>
        <w:rPr>
          <w:rFonts w:ascii="Times New Roman" w:hAnsi="Times New Roman" w:cs="Times New Roman"/>
          <w:bCs/>
          <w:sz w:val="24"/>
          <w:szCs w:val="24"/>
        </w:rPr>
        <w:t xml:space="preserve">za </w:t>
      </w:r>
      <w:r>
        <w:rPr>
          <w:rFonts w:ascii="Times New Roman" w:hAnsi="Times New Roman" w:cs="Times New Roman"/>
          <w:bCs/>
          <w:sz w:val="24"/>
          <w:szCs w:val="24"/>
        </w:rPr>
        <w:t xml:space="preserve">financiranje </w:t>
      </w:r>
      <w:r>
        <w:rPr>
          <w:rFonts w:ascii="Times New Roman" w:hAnsi="Times New Roman" w:cs="Times New Roman"/>
          <w:bCs/>
          <w:sz w:val="24"/>
          <w:szCs w:val="24"/>
        </w:rPr>
        <w:t xml:space="preserve">udžbenika za deficitarna zanimanja</w:t>
      </w:r>
      <w:r>
        <w:rPr>
          <w:rFonts w:ascii="Times New Roman" w:hAnsi="Times New Roman" w:cs="Times New Roman"/>
          <w:bCs/>
          <w:sz w:val="24"/>
          <w:szCs w:val="24"/>
        </w:rPr>
        <w:t xml:space="preserve">, e-tehničara</w:t>
      </w:r>
      <w:r>
        <w:rPr>
          <w:rFonts w:ascii="Times New Roman" w:hAnsi="Times New Roman" w:cs="Times New Roman"/>
          <w:bCs/>
          <w:sz w:val="24"/>
          <w:szCs w:val="24"/>
        </w:rPr>
        <w:t xml:space="preserve"> te pomoćnika u nastavi koji se financiraju iz</w:t>
      </w:r>
      <w:r>
        <w:rPr>
          <w:rFonts w:ascii="Times New Roman" w:hAnsi="Times New Roman" w:cs="Times New Roman"/>
          <w:bCs/>
          <w:sz w:val="24"/>
          <w:szCs w:val="24"/>
        </w:rPr>
        <w:t xml:space="preserve"> županijskih sredstava. Indeks s</w:t>
      </w:r>
      <w:r>
        <w:rPr>
          <w:rFonts w:ascii="Times New Roman" w:hAnsi="Times New Roman" w:cs="Times New Roman"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Cs/>
          <w:sz w:val="24"/>
          <w:szCs w:val="24"/>
        </w:rPr>
        <w:t xml:space="preserve">povećao u 2025</w:t>
      </w:r>
      <w:r>
        <w:rPr>
          <w:rFonts w:ascii="Times New Roman" w:hAnsi="Times New Roman" w:cs="Times New Roman"/>
          <w:bCs/>
          <w:sz w:val="24"/>
          <w:szCs w:val="24"/>
        </w:rPr>
        <w:t xml:space="preserve">. godini jer </w:t>
      </w:r>
      <w:r>
        <w:rPr>
          <w:rFonts w:ascii="Times New Roman" w:hAnsi="Times New Roman" w:cs="Times New Roman"/>
          <w:bCs/>
          <w:sz w:val="24"/>
          <w:szCs w:val="24"/>
        </w:rPr>
        <w:t xml:space="preserve">je rasla plaća pomoćnicima u nastavi </w:t>
      </w:r>
      <w:r>
        <w:rPr>
          <w:rFonts w:ascii="Times New Roman" w:hAnsi="Times New Roman" w:cs="Times New Roman"/>
          <w:bCs/>
          <w:sz w:val="24"/>
          <w:szCs w:val="24"/>
        </w:rPr>
        <w:t xml:space="preserve">te se povećao broj pomoćnika.</w:t>
      </w:r>
    </w:p>
    <w:p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Izvor 3 – vlastiti prihodi – indeks iz</w:t>
      </w:r>
      <w:r>
        <w:rPr>
          <w:rFonts w:ascii="Times New Roman" w:hAnsi="Times New Roman" w:cs="Times New Roman"/>
          <w:bCs/>
          <w:sz w:val="24"/>
          <w:szCs w:val="24"/>
        </w:rPr>
        <w:t xml:space="preserve">vršenja </w:t>
      </w:r>
      <w:r>
        <w:rPr>
          <w:rFonts w:ascii="Times New Roman" w:hAnsi="Times New Roman" w:cs="Times New Roman"/>
          <w:bCs/>
          <w:sz w:val="24"/>
          <w:szCs w:val="24"/>
        </w:rPr>
        <w:t xml:space="preserve">prihoda u odnosu na 2024</w:t>
      </w:r>
      <w:r>
        <w:rPr>
          <w:rFonts w:ascii="Times New Roman" w:hAnsi="Times New Roman" w:cs="Times New Roman"/>
          <w:bCs/>
          <w:sz w:val="24"/>
          <w:szCs w:val="24"/>
        </w:rPr>
        <w:t xml:space="preserve">. godinu iznosi </w:t>
      </w:r>
      <w:r>
        <w:rPr>
          <w:rFonts w:ascii="Times New Roman" w:hAnsi="Times New Roman" w:cs="Times New Roman"/>
          <w:bCs/>
          <w:sz w:val="24"/>
          <w:szCs w:val="24"/>
        </w:rPr>
        <w:t xml:space="preserve">95,80</w:t>
      </w:r>
      <w:r>
        <w:rPr>
          <w:rFonts w:ascii="Times New Roman" w:hAnsi="Times New Roman" w:cs="Times New Roman"/>
          <w:bCs/>
          <w:sz w:val="24"/>
          <w:szCs w:val="24"/>
        </w:rPr>
        <w:t xml:space="preserve"> %, jer je škola prihodovala </w:t>
      </w:r>
      <w:r>
        <w:rPr>
          <w:rFonts w:ascii="Times New Roman" w:hAnsi="Times New Roman" w:cs="Times New Roman"/>
          <w:bCs/>
          <w:sz w:val="24"/>
          <w:szCs w:val="24"/>
        </w:rPr>
        <w:t xml:space="preserve">manje</w:t>
      </w:r>
      <w:r>
        <w:rPr>
          <w:rFonts w:ascii="Times New Roman" w:hAnsi="Times New Roman" w:cs="Times New Roman"/>
          <w:bCs/>
          <w:sz w:val="24"/>
          <w:szCs w:val="24"/>
        </w:rPr>
        <w:t xml:space="preserve"> novaca od najma </w:t>
      </w:r>
      <w:r>
        <w:rPr>
          <w:rFonts w:ascii="Times New Roman" w:hAnsi="Times New Roman" w:cs="Times New Roman"/>
          <w:bCs/>
          <w:sz w:val="24"/>
          <w:szCs w:val="24"/>
        </w:rPr>
        <w:t xml:space="preserve">školskog prostora</w:t>
      </w:r>
      <w:r>
        <w:rPr>
          <w:rFonts w:ascii="Times New Roman" w:hAnsi="Times New Roman" w:cs="Times New Roman"/>
          <w:bCs/>
          <w:sz w:val="24"/>
          <w:szCs w:val="24"/>
        </w:rPr>
        <w:t xml:space="preserve"> te pružanja usluge </w:t>
      </w:r>
      <w:r>
        <w:rPr>
          <w:rFonts w:ascii="Times New Roman" w:hAnsi="Times New Roman" w:cs="Times New Roman"/>
          <w:bCs/>
          <w:sz w:val="24"/>
          <w:szCs w:val="24"/>
        </w:rPr>
        <w:t xml:space="preserve">cateringa</w:t>
      </w:r>
      <w:r>
        <w:rPr>
          <w:rFonts w:ascii="Times New Roman" w:hAnsi="Times New Roman" w:cs="Times New Roman"/>
          <w:bCs/>
          <w:sz w:val="24"/>
          <w:szCs w:val="24"/>
        </w:rPr>
        <w:t xml:space="preserve"> za razne manifestacije. </w:t>
      </w:r>
    </w:p>
    <w:p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Izvor 4 – prihod za posebne namjene – indeks izvršenja prihoda u odnosu na prethodnu godinu iznosi </w:t>
      </w:r>
      <w:r>
        <w:rPr>
          <w:rFonts w:ascii="Times New Roman" w:hAnsi="Times New Roman" w:cs="Times New Roman"/>
          <w:bCs/>
          <w:sz w:val="24"/>
          <w:szCs w:val="24"/>
        </w:rPr>
        <w:t xml:space="preserve">141,53</w:t>
      </w:r>
      <w:r>
        <w:rPr>
          <w:rFonts w:ascii="Times New Roman" w:hAnsi="Times New Roman" w:cs="Times New Roman"/>
          <w:bCs/>
          <w:sz w:val="24"/>
          <w:szCs w:val="24"/>
        </w:rPr>
        <w:t xml:space="preserve"> % jer </w:t>
      </w:r>
      <w:r>
        <w:rPr>
          <w:rFonts w:ascii="Times New Roman" w:hAnsi="Times New Roman" w:cs="Times New Roman"/>
          <w:bCs/>
          <w:sz w:val="24"/>
          <w:szCs w:val="24"/>
        </w:rPr>
        <w:t xml:space="preserve">se povećao prihod iz nadležnog</w:t>
      </w:r>
      <w:r>
        <w:rPr>
          <w:rFonts w:ascii="Times New Roman" w:hAnsi="Times New Roman" w:cs="Times New Roman"/>
          <w:bCs/>
          <w:sz w:val="24"/>
          <w:szCs w:val="24"/>
        </w:rPr>
        <w:t xml:space="preserve"> proračun</w:t>
      </w:r>
      <w:r>
        <w:rPr>
          <w:rFonts w:ascii="Times New Roman" w:hAnsi="Times New Roman" w:cs="Times New Roman"/>
          <w:bCs/>
          <w:sz w:val="24"/>
          <w:szCs w:val="24"/>
        </w:rPr>
        <w:t xml:space="preserve">a za financiranje redovnog poslovanja škole te su se povećali prihodi od izdavanja duplikata svjedodžbi.</w:t>
      </w:r>
    </w:p>
    <w:p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Izvor 5 – pomoći – indeks izvršenja prihoda iznosi </w:t>
      </w:r>
      <w:r>
        <w:rPr>
          <w:rFonts w:ascii="Times New Roman" w:hAnsi="Times New Roman" w:cs="Times New Roman"/>
          <w:bCs/>
          <w:sz w:val="24"/>
          <w:szCs w:val="24"/>
        </w:rPr>
        <w:t xml:space="preserve">104,29</w:t>
      </w:r>
      <w:r>
        <w:rPr>
          <w:rFonts w:ascii="Times New Roman" w:hAnsi="Times New Roman" w:cs="Times New Roman"/>
          <w:bCs/>
          <w:sz w:val="24"/>
          <w:szCs w:val="24"/>
        </w:rPr>
        <w:t xml:space="preserve"> % u odnosu na godinu ranije i tu spadaju sredstva Državnog proračuna za </w:t>
      </w:r>
      <w:r>
        <w:rPr>
          <w:rFonts w:ascii="Times New Roman" w:hAnsi="Times New Roman" w:cs="Times New Roman"/>
          <w:sz w:val="24"/>
          <w:szCs w:val="24"/>
        </w:rPr>
        <w:t xml:space="preserve">podmir</w:t>
      </w:r>
      <w:r>
        <w:rPr>
          <w:rFonts w:ascii="Times New Roman" w:hAnsi="Times New Roman" w:cs="Times New Roman"/>
          <w:sz w:val="24"/>
          <w:szCs w:val="24"/>
        </w:rPr>
        <w:t xml:space="preserve">enje rashode plaća zaposlenika š</w:t>
      </w:r>
      <w:r>
        <w:rPr>
          <w:rFonts w:ascii="Times New Roman" w:hAnsi="Times New Roman" w:cs="Times New Roman"/>
          <w:sz w:val="24"/>
          <w:szCs w:val="24"/>
        </w:rPr>
        <w:t xml:space="preserve">kole, doprinosi iz plaće, rashodi za materijalna prava koja zaposlenici imaju prema Kolektivnom ugovoru te naknada za nezapošljavanje osoba s invaliditetom. Povećanje indeksa ostvarenja plana rezultat </w:t>
      </w:r>
      <w:r>
        <w:rPr>
          <w:rFonts w:ascii="Times New Roman" w:hAnsi="Times New Roman" w:cs="Times New Roman"/>
          <w:sz w:val="24"/>
          <w:szCs w:val="24"/>
        </w:rPr>
        <w:t xml:space="preserve">je</w:t>
      </w:r>
      <w:r>
        <w:rPr>
          <w:rFonts w:ascii="Times New Roman" w:hAnsi="Times New Roman" w:cs="Times New Roman"/>
          <w:sz w:val="24"/>
          <w:szCs w:val="24"/>
        </w:rPr>
        <w:t xml:space="preserve"> rasta plaća</w:t>
      </w:r>
      <w:r>
        <w:rPr>
          <w:rFonts w:ascii="Times New Roman" w:hAnsi="Times New Roman" w:cs="Times New Roman"/>
          <w:sz w:val="24"/>
          <w:szCs w:val="24"/>
        </w:rPr>
        <w:t xml:space="preserve">. Također tu spada dio sredstava za financiranje plaće pomoćnika u nastavi iz projekta </w:t>
      </w:r>
      <w:r>
        <w:rPr>
          <w:rFonts w:ascii="Times New Roman" w:hAnsi="Times New Roman" w:cs="Times New Roman"/>
          <w:sz w:val="24"/>
          <w:szCs w:val="24"/>
        </w:rPr>
        <w:t xml:space="preserve">Inkluzija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6 – donacije – indeks izvršenja donacija iznosi </w:t>
      </w:r>
      <w:r>
        <w:rPr>
          <w:rFonts w:ascii="Times New Roman" w:hAnsi="Times New Roman" w:cs="Times New Roman"/>
          <w:sz w:val="24"/>
          <w:szCs w:val="24"/>
        </w:rPr>
        <w:t xml:space="preserve">0 % u odnosu na 2024. godinu jer škola nije dobila nikakve donacije u tekućoj godini.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prema izvorima financiranja su se povećali na izvorima 1, 4, 5 zbog ukidanja konta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 (aktivna vremenska razgraničenja) gdje su se do sada knjižile plaće</w:t>
      </w:r>
      <w:r>
        <w:rPr>
          <w:rFonts w:ascii="Times New Roman" w:hAnsi="Times New Roman" w:cs="Times New Roman"/>
          <w:sz w:val="24"/>
          <w:szCs w:val="24"/>
        </w:rPr>
        <w:t xml:space="preserve">, materijalna prava, troškovi prijevoza zaposlenika s posla i na posao</w:t>
      </w:r>
      <w:r>
        <w:rPr>
          <w:rFonts w:ascii="Times New Roman" w:hAnsi="Times New Roman" w:cs="Times New Roman"/>
          <w:sz w:val="24"/>
          <w:szCs w:val="24"/>
        </w:rPr>
        <w:t xml:space="preserve"> te režijski troškovi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prosinac.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Odlomakpopis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Obrazloženje posebnog dijela izvještaja o izvršenju financijskog plana</w:t>
      </w:r>
    </w:p>
    <w:p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/>
        <w:ind w:left="-66" w:righ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Prioritet š</w:t>
      </w:r>
      <w:r>
        <w:rPr>
          <w:rFonts w:ascii="Times New Roman" w:hAnsi="Times New Roman" w:cs="Times New Roman"/>
          <w:sz w:val="24"/>
          <w:szCs w:val="24"/>
        </w:rPr>
        <w:t xml:space="preserve">kole je podizanje kvalitete</w:t>
      </w:r>
      <w:r>
        <w:rPr>
          <w:rFonts w:ascii="Times New Roman" w:hAnsi="Times New Roman" w:cs="Times New Roman"/>
          <w:sz w:val="24"/>
          <w:szCs w:val="24"/>
        </w:rPr>
        <w:t xml:space="preserve"> nastave na što višu razinu i to kontinuiranim kvalitetnim usavršavanjem nastavnika, sudjelovanjem na </w:t>
      </w:r>
      <w:r>
        <w:rPr>
          <w:rFonts w:ascii="Times New Roman" w:hAnsi="Times New Roman" w:cs="Times New Roman"/>
          <w:sz w:val="24"/>
          <w:szCs w:val="24"/>
        </w:rPr>
        <w:t xml:space="preserve">seminarima i stručnim skupovima</w:t>
      </w:r>
      <w:r>
        <w:rPr>
          <w:rFonts w:ascii="Times New Roman" w:hAnsi="Times New Roman" w:cs="Times New Roman"/>
          <w:sz w:val="24"/>
          <w:szCs w:val="24"/>
        </w:rPr>
        <w:t xml:space="preserve"> te podizanjem </w:t>
      </w:r>
      <w:r>
        <w:rPr>
          <w:rFonts w:ascii="Times New Roman" w:hAnsi="Times New Roman" w:cs="Times New Roman"/>
          <w:sz w:val="24"/>
          <w:szCs w:val="24"/>
        </w:rPr>
        <w:t xml:space="preserve">materijalnih i drugih uvjeta u š</w:t>
      </w:r>
      <w:r>
        <w:rPr>
          <w:rFonts w:ascii="Times New Roman" w:hAnsi="Times New Roman" w:cs="Times New Roman"/>
          <w:sz w:val="24"/>
          <w:szCs w:val="24"/>
        </w:rPr>
        <w:t xml:space="preserve">koli, a sve u sk</w:t>
      </w:r>
      <w:r>
        <w:rPr>
          <w:rFonts w:ascii="Times New Roman" w:hAnsi="Times New Roman" w:cs="Times New Roman"/>
          <w:sz w:val="24"/>
          <w:szCs w:val="24"/>
        </w:rPr>
        <w:t xml:space="preserve">ladu s Planom i programom </w:t>
      </w:r>
      <w:r>
        <w:rPr>
          <w:rFonts w:ascii="Times New Roman" w:hAnsi="Times New Roman" w:cs="Times New Roman"/>
          <w:sz w:val="24"/>
          <w:szCs w:val="24"/>
        </w:rPr>
        <w:t xml:space="preserve">te mogućnostima</w:t>
      </w:r>
      <w:r>
        <w:rPr>
          <w:rFonts w:ascii="Times New Roman" w:hAnsi="Times New Roman" w:cs="Times New Roman"/>
          <w:sz w:val="24"/>
          <w:szCs w:val="24"/>
        </w:rPr>
        <w:t xml:space="preserve"> š</w:t>
      </w:r>
      <w:r>
        <w:rPr>
          <w:rFonts w:ascii="Times New Roman" w:hAnsi="Times New Roman" w:cs="Times New Roman"/>
          <w:sz w:val="24"/>
          <w:szCs w:val="24"/>
        </w:rPr>
        <w:t xml:space="preserve">kole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>
      <w:pPr>
        <w:spacing w:after="0"/>
        <w:ind w:left="-66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Škola također planira i dalje sudjelovati i doprinositi dalj</w:t>
      </w:r>
      <w:r>
        <w:rPr>
          <w:rFonts w:ascii="Times New Roman" w:hAnsi="Times New Roman" w:cs="Times New Roman"/>
          <w:sz w:val="24"/>
          <w:szCs w:val="24"/>
        </w:rPr>
        <w:t xml:space="preserve">njem razvoju putem EU projekata</w:t>
      </w:r>
      <w:r>
        <w:rPr>
          <w:rFonts w:ascii="Times New Roman" w:hAnsi="Times New Roman" w:cs="Times New Roman"/>
          <w:sz w:val="24"/>
          <w:szCs w:val="24"/>
        </w:rPr>
        <w:t xml:space="preserve"> te zaposlenicima i učenicima poboljšati uvjete rada i školovanja.</w:t>
      </w:r>
    </w:p>
    <w:p>
      <w:pPr>
        <w:spacing w:after="0"/>
        <w:ind w:left="-66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Kod učenika se trudi</w:t>
      </w:r>
      <w:r>
        <w:rPr>
          <w:rFonts w:ascii="Times New Roman" w:hAnsi="Times New Roman" w:cs="Times New Roman"/>
          <w:sz w:val="24"/>
          <w:szCs w:val="24"/>
        </w:rPr>
        <w:t xml:space="preserve"> razviti samoinicijativnost, marljivost, odgovornost, ali i njihovu poduzetnost kroz uključivanje u razne slobodne aktivnosti, sudjelovanje u manifestacijama, natjecanja, vježbeničke praks</w:t>
      </w:r>
      <w:r>
        <w:rPr>
          <w:rFonts w:ascii="Times New Roman" w:hAnsi="Times New Roman" w:cs="Times New Roman"/>
          <w:sz w:val="24"/>
          <w:szCs w:val="24"/>
        </w:rPr>
        <w:t xml:space="preserve">e, kao i druge školske projekte</w:t>
      </w:r>
      <w:r>
        <w:rPr>
          <w:rFonts w:ascii="Times New Roman" w:hAnsi="Times New Roman" w:cs="Times New Roman"/>
          <w:sz w:val="24"/>
          <w:szCs w:val="24"/>
        </w:rPr>
        <w:t xml:space="preserve"> te ih osposobiti za rad ili nastavak školovanja prema zahtjevima tržišnog gospodarstva.</w:t>
      </w:r>
    </w:p>
    <w:p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Odlomakpopisa"/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Izvještaj o izvršenju financijskog 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lana 2025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Prema ekonomskoj klasifikaciji, programima te izvorima financiranja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/>
      </w:r>
    </w:p>
    <w:p>
      <w:pPr>
        <w:pStyle w:val="Odlomakpopisa"/>
        <w:spacing w:after="0"/>
        <w:ind w:left="7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Odlomakpopisa"/>
        <w:numPr>
          <w:ilvl w:val="2"/>
          <w:numId w:val="17"/>
        </w:num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Program 2204 – srednje školstvo standard</w:t>
      </w:r>
    </w:p>
    <w:p>
      <w:pPr>
        <w:pStyle w:val="Odlomakpopisa"/>
        <w:spacing w:after="0"/>
        <w:ind w:left="1224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DJELATNOST SREDNJIH ŠKOLA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>
        <w:trPr>
          <w:cantSplit/>
        </w:trPr>
        <w:tc>
          <w:tcPr>
            <w:tcW w:type="dxa" w:w="1812"/>
            <w:tcBorders/>
            <w:shd w:fill="BFBFBF" w:color="auto" w:val="clear"/>
            <w:vAlign w:val="center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Program</w:t>
            </w:r>
          </w:p>
        </w:tc>
        <w:tc>
          <w:tcPr>
            <w:tcW w:type="dxa" w:w="1812"/>
            <w:tcBorders/>
            <w:shd w:fill="BFBFBF" w:color="auto" w:val="clear"/>
            <w:vAlign w:val="center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Aktivnost</w:t>
            </w:r>
          </w:p>
        </w:tc>
        <w:tc>
          <w:tcPr>
            <w:tcW w:type="dxa" w:w="1812"/>
            <w:tcBorders/>
            <w:shd w:fill="BFBFBF" w:color="auto" w:val="clear"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Planirano</w:t>
            </w:r>
          </w:p>
        </w:tc>
        <w:tc>
          <w:tcPr>
            <w:tcW w:type="dxa" w:w="1813"/>
            <w:tcBorders/>
            <w:shd w:fill="BFBFBF" w:color="auto" w:val="clear"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Izvršenje plana 2025</w:t>
            </w:r>
          </w:p>
        </w:tc>
        <w:tc>
          <w:tcPr>
            <w:tcW w:type="dxa" w:w="1813"/>
            <w:tcBorders/>
            <w:shd w:fill="BFBFBF" w:color="auto" w:val="clear"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Indeks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izvršenja plana 2025</w:t>
            </w:r>
          </w:p>
        </w:tc>
      </w:tr>
      <w:tr>
        <w:trPr/>
        <w:tc>
          <w:tcPr>
            <w:tcW w:type="dxa" w:w="1812"/>
            <w:tcBorders/>
            <w:vAlign w:val="bottom"/>
          </w:tcPr>
          <w:p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2204</w:t>
            </w:r>
          </w:p>
        </w:tc>
        <w:tc>
          <w:tcPr>
            <w:tcW w:type="dxa" w:w="1812"/>
            <w:tcBorders/>
            <w:vAlign w:val="bottom"/>
          </w:tcPr>
          <w:p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A2204 – 01</w:t>
            </w:r>
          </w:p>
        </w:tc>
        <w:tc>
          <w:tcPr>
            <w:tcW w:type="dxa" w:w="1812"/>
            <w:tcBorders/>
            <w:vAlign w:val="bottom"/>
          </w:tcPr>
          <w:p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193.360,86</w:t>
            </w:r>
          </w:p>
        </w:tc>
        <w:tc>
          <w:tcPr>
            <w:tcW w:type="dxa" w:w="1813"/>
            <w:tcBorders/>
            <w:vAlign w:val="bottom"/>
          </w:tcPr>
          <w:p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197.264,26</w:t>
            </w:r>
          </w:p>
        </w:tc>
        <w:tc>
          <w:tcPr>
            <w:tcW w:type="dxa" w:w="1813"/>
            <w:tcBorders/>
            <w:vAlign w:val="bottom"/>
          </w:tcPr>
          <w:p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102,02</w:t>
            </w:r>
          </w:p>
        </w:tc>
      </w:tr>
    </w:tbl>
    <w:p>
      <w:pPr>
        <w:spacing w:before="24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Aktivnosti</w:t>
      </w:r>
      <w:r>
        <w:rPr>
          <w:rFonts w:ascii="Times New Roman" w:hAnsi="Times New Roman" w:cs="Times New Roman"/>
          <w:sz w:val="24"/>
          <w:szCs w:val="24"/>
        </w:rPr>
        <w:t xml:space="preserve"> i sredstva namijenjena su financiranju materijalnih r</w:t>
      </w:r>
      <w:r>
        <w:rPr>
          <w:rFonts w:ascii="Times New Roman" w:hAnsi="Times New Roman" w:cs="Times New Roman"/>
          <w:sz w:val="24"/>
          <w:szCs w:val="24"/>
        </w:rPr>
        <w:t xml:space="preserve">ashoda š</w:t>
      </w:r>
      <w:r>
        <w:rPr>
          <w:rFonts w:ascii="Times New Roman" w:hAnsi="Times New Roman" w:cs="Times New Roman"/>
          <w:sz w:val="24"/>
          <w:szCs w:val="24"/>
        </w:rPr>
        <w:t xml:space="preserve">kole, a koji se sastoje od troška prijevoza zaposlen</w:t>
      </w:r>
      <w:r>
        <w:rPr>
          <w:rFonts w:ascii="Times New Roman" w:hAnsi="Times New Roman" w:cs="Times New Roman"/>
          <w:sz w:val="24"/>
          <w:szCs w:val="24"/>
        </w:rPr>
        <w:t xml:space="preserve">ika s posla i na posao, službenih putovanja i usavršavanja</w:t>
      </w:r>
      <w:r>
        <w:rPr>
          <w:rFonts w:ascii="Times New Roman" w:hAnsi="Times New Roman" w:cs="Times New Roman"/>
          <w:sz w:val="24"/>
          <w:szCs w:val="24"/>
        </w:rPr>
        <w:t xml:space="preserve"> zaposlenika, za podmiriv</w:t>
      </w:r>
      <w:r>
        <w:rPr>
          <w:rFonts w:ascii="Times New Roman" w:hAnsi="Times New Roman" w:cs="Times New Roman"/>
          <w:sz w:val="24"/>
          <w:szCs w:val="24"/>
        </w:rPr>
        <w:t xml:space="preserve">anje troška uredskog materijala</w:t>
      </w:r>
      <w:r>
        <w:rPr>
          <w:rFonts w:ascii="Times New Roman" w:hAnsi="Times New Roman" w:cs="Times New Roman"/>
          <w:sz w:val="24"/>
          <w:szCs w:val="24"/>
        </w:rPr>
        <w:t xml:space="preserve"> te materijala za čišćenje i higijenu, komunalne usluge, grijanje, usluge održavanja računala, usluge i materijal</w:t>
      </w:r>
      <w:r>
        <w:rPr>
          <w:rFonts w:ascii="Times New Roman" w:hAnsi="Times New Roman" w:cs="Times New Roman"/>
          <w:sz w:val="24"/>
          <w:szCs w:val="24"/>
        </w:rPr>
        <w:t xml:space="preserve">a za redovno </w:t>
      </w:r>
      <w:r>
        <w:rPr>
          <w:rFonts w:ascii="Times New Roman" w:hAnsi="Times New Roman" w:cs="Times New Roman"/>
          <w:sz w:val="24"/>
          <w:szCs w:val="24"/>
        </w:rPr>
        <w:t xml:space="preserve">održavanje zgrade i prostorija, osiguranje, članarine i ostali rashodi i iz</w:t>
      </w:r>
      <w:r>
        <w:rPr>
          <w:rFonts w:ascii="Times New Roman" w:hAnsi="Times New Roman" w:cs="Times New Roman"/>
          <w:sz w:val="24"/>
          <w:szCs w:val="24"/>
        </w:rPr>
        <w:t xml:space="preserve">daci povezani s redovnim radom š</w:t>
      </w:r>
      <w:r>
        <w:rPr>
          <w:rFonts w:ascii="Times New Roman" w:hAnsi="Times New Roman" w:cs="Times New Roman"/>
          <w:sz w:val="24"/>
          <w:szCs w:val="24"/>
        </w:rPr>
        <w:t xml:space="preserve">kole.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Također pomoću ovih </w:t>
      </w:r>
      <w:r>
        <w:rPr>
          <w:rFonts w:ascii="Times New Roman" w:hAnsi="Times New Roman" w:cs="Times New Roman"/>
          <w:sz w:val="24"/>
          <w:szCs w:val="24"/>
        </w:rPr>
        <w:t xml:space="preserve">aktivnosti</w:t>
      </w:r>
      <w:r>
        <w:rPr>
          <w:rFonts w:ascii="Times New Roman" w:hAnsi="Times New Roman" w:cs="Times New Roman"/>
          <w:sz w:val="24"/>
          <w:szCs w:val="24"/>
        </w:rPr>
        <w:t xml:space="preserve">, ostvaruju se i dugoročni ciljevi kao što su poboljšavanje u</w:t>
      </w:r>
      <w:r>
        <w:rPr>
          <w:rFonts w:ascii="Times New Roman" w:hAnsi="Times New Roman" w:cs="Times New Roman"/>
          <w:sz w:val="24"/>
          <w:szCs w:val="24"/>
        </w:rPr>
        <w:t xml:space="preserve">vjeta rada u školskom prostoru</w:t>
      </w:r>
      <w:r>
        <w:rPr>
          <w:rFonts w:ascii="Times New Roman" w:hAnsi="Times New Roman" w:cs="Times New Roman"/>
          <w:sz w:val="24"/>
          <w:szCs w:val="24"/>
        </w:rPr>
        <w:t xml:space="preserve">, organiziranje učeničkih izleta, ekskurzija, natjecanja te ostalih izvannastavnih športskih i kulturnih manifestacija.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H</w:t>
      </w:r>
      <w:r>
        <w:rPr>
          <w:rFonts w:ascii="Times New Roman" w:hAnsi="Times New Roman" w:cs="Times New Roman"/>
          <w:b/>
          <w:sz w:val="20"/>
          <w:szCs w:val="20"/>
        </w:rPr>
        <w:t xml:space="preserve">ITNE INTERVENCIJE U SREDNJIM ŠKOLAMA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>
        <w:trPr>
          <w:cantSplit/>
        </w:trPr>
        <w:tc>
          <w:tcPr>
            <w:tcW w:type="dxa" w:w="1812"/>
            <w:tcBorders/>
            <w:shd w:fill="BFBFBF" w:color="auto" w:val="clear"/>
            <w:vAlign w:val="center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Program</w:t>
            </w:r>
          </w:p>
        </w:tc>
        <w:tc>
          <w:tcPr>
            <w:tcW w:type="dxa" w:w="1812"/>
            <w:tcBorders/>
            <w:shd w:fill="BFBFBF" w:color="auto" w:val="clear"/>
            <w:vAlign w:val="center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Projekt</w:t>
            </w:r>
          </w:p>
        </w:tc>
        <w:tc>
          <w:tcPr>
            <w:tcW w:type="dxa" w:w="1812"/>
            <w:tcBorders/>
            <w:shd w:fill="BFBFBF" w:color="auto" w:val="clear"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Planirano</w:t>
            </w:r>
          </w:p>
        </w:tc>
        <w:tc>
          <w:tcPr>
            <w:tcW w:type="dxa" w:w="1813"/>
            <w:tcBorders/>
            <w:shd w:fill="BFBFBF" w:color="auto" w:val="clear"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Izvršenje plana 2025</w:t>
            </w:r>
          </w:p>
        </w:tc>
        <w:tc>
          <w:tcPr>
            <w:tcW w:type="dxa" w:w="1813"/>
            <w:tcBorders/>
            <w:shd w:fill="BFBFBF" w:color="auto" w:val="clear"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Indeks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izvršenja plana 2025</w:t>
            </w:r>
          </w:p>
        </w:tc>
      </w:tr>
      <w:tr>
        <w:trPr/>
        <w:tc>
          <w:tcPr>
            <w:tcW w:type="dxa" w:w="1812"/>
            <w:tcBorders/>
            <w:vAlign w:val="bottom"/>
          </w:tcPr>
          <w:p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2204</w:t>
            </w:r>
          </w:p>
        </w:tc>
        <w:tc>
          <w:tcPr>
            <w:tcW w:type="dxa" w:w="1812"/>
            <w:tcBorders/>
            <w:vAlign w:val="bottom"/>
          </w:tcPr>
          <w:p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T2204-04</w:t>
            </w:r>
          </w:p>
        </w:tc>
        <w:tc>
          <w:tcPr>
            <w:tcW w:type="dxa" w:w="1812"/>
            <w:tcBorders/>
            <w:vAlign w:val="center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14.953,00</w:t>
            </w:r>
          </w:p>
        </w:tc>
        <w:tc>
          <w:tcPr>
            <w:tcW w:type="dxa" w:w="1813"/>
            <w:tcBorders/>
            <w:vAlign w:val="center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14.953,00</w:t>
            </w:r>
          </w:p>
        </w:tc>
        <w:tc>
          <w:tcPr>
            <w:tcW w:type="dxa" w:w="1813"/>
            <w:tcBorders/>
            <w:vAlign w:val="center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100,00</w:t>
            </w:r>
          </w:p>
        </w:tc>
      </w:tr>
    </w:tbl>
    <w:p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i sredstva financirao je nadležni proračun s kojim</w:t>
      </w:r>
      <w:r>
        <w:rPr>
          <w:rFonts w:ascii="Times New Roman" w:hAnsi="Times New Roman" w:cs="Times New Roman"/>
          <w:sz w:val="24"/>
          <w:szCs w:val="24"/>
        </w:rPr>
        <w:t xml:space="preserve"> se ugradio video nadzor u školi</w:t>
      </w:r>
      <w:r>
        <w:rPr>
          <w:rFonts w:ascii="Times New Roman" w:hAnsi="Times New Roman" w:cs="Times New Roman"/>
          <w:sz w:val="24"/>
          <w:szCs w:val="24"/>
        </w:rPr>
        <w:t xml:space="preserve"> i oko nje zbog povećanja sigurnosti djece i djelatnika.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ADMINISTRACIJA I UPRAVALJANJE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>
        <w:trPr>
          <w:cantSplit/>
        </w:trPr>
        <w:tc>
          <w:tcPr>
            <w:tcW w:type="dxa" w:w="1812"/>
            <w:tcBorders/>
            <w:shd w:fill="BFBFBF" w:color="auto" w:val="clear"/>
            <w:vAlign w:val="center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Program</w:t>
            </w:r>
          </w:p>
        </w:tc>
        <w:tc>
          <w:tcPr>
            <w:tcW w:type="dxa" w:w="1812"/>
            <w:tcBorders/>
            <w:shd w:fill="BFBFBF" w:color="auto" w:val="clear"/>
            <w:vAlign w:val="center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Aktivnost</w:t>
            </w:r>
          </w:p>
        </w:tc>
        <w:tc>
          <w:tcPr>
            <w:tcW w:type="dxa" w:w="1812"/>
            <w:tcBorders/>
            <w:shd w:fill="BFBFBF" w:color="auto" w:val="clear"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Planirano</w:t>
            </w:r>
          </w:p>
        </w:tc>
        <w:tc>
          <w:tcPr>
            <w:tcW w:type="dxa" w:w="1813"/>
            <w:tcBorders/>
            <w:shd w:fill="BFBFBF" w:color="auto" w:val="clear"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Izvršenje plana 2025</w:t>
            </w:r>
          </w:p>
        </w:tc>
        <w:tc>
          <w:tcPr>
            <w:tcW w:type="dxa" w:w="1813"/>
            <w:tcBorders/>
            <w:shd w:fill="BFBFBF" w:color="auto" w:val="clear"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Indeks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izvršenja plana 2025</w:t>
            </w:r>
          </w:p>
        </w:tc>
      </w:tr>
      <w:tr>
        <w:trPr/>
        <w:tc>
          <w:tcPr>
            <w:tcW w:type="dxa" w:w="1812"/>
            <w:tcBorders/>
            <w:vAlign w:val="bottom"/>
          </w:tcPr>
          <w:p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2204</w:t>
            </w:r>
          </w:p>
        </w:tc>
        <w:tc>
          <w:tcPr>
            <w:tcW w:type="dxa" w:w="1812"/>
            <w:tcBorders/>
            <w:vAlign w:val="bottom"/>
          </w:tcPr>
          <w:p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A2204 – 07</w:t>
            </w:r>
          </w:p>
        </w:tc>
        <w:tc>
          <w:tcPr>
            <w:tcW w:type="dxa" w:w="1812"/>
            <w:tcBorders/>
            <w:vAlign w:val="center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2.152.200,00</w:t>
            </w:r>
          </w:p>
        </w:tc>
        <w:tc>
          <w:tcPr>
            <w:tcW w:type="dxa" w:w="1813"/>
            <w:tcBorders/>
            <w:vAlign w:val="center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2.224.792,74</w:t>
            </w:r>
          </w:p>
        </w:tc>
        <w:tc>
          <w:tcPr>
            <w:tcW w:type="dxa" w:w="1813"/>
            <w:tcBorders/>
            <w:vAlign w:val="center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103,37</w:t>
            </w:r>
          </w:p>
        </w:tc>
      </w:tr>
    </w:tbl>
    <w:p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</w:t>
      </w:r>
      <w:r>
        <w:rPr>
          <w:rFonts w:ascii="Times New Roman" w:hAnsi="Times New Roman" w:cs="Times New Roman"/>
          <w:sz w:val="24"/>
          <w:szCs w:val="24"/>
        </w:rPr>
        <w:t xml:space="preserve">aktivnost</w:t>
      </w:r>
      <w:r>
        <w:rPr>
          <w:rFonts w:ascii="Times New Roman" w:hAnsi="Times New Roman" w:cs="Times New Roman"/>
          <w:sz w:val="24"/>
          <w:szCs w:val="24"/>
        </w:rPr>
        <w:t xml:space="preserve"> Administracija i upravljanje nalaze se sredstva za podmir</w:t>
      </w:r>
      <w:r>
        <w:rPr>
          <w:rFonts w:ascii="Times New Roman" w:hAnsi="Times New Roman" w:cs="Times New Roman"/>
          <w:sz w:val="24"/>
          <w:szCs w:val="24"/>
        </w:rPr>
        <w:t xml:space="preserve">enje rashode plaća zaposlenika š</w:t>
      </w:r>
      <w:r>
        <w:rPr>
          <w:rFonts w:ascii="Times New Roman" w:hAnsi="Times New Roman" w:cs="Times New Roman"/>
          <w:sz w:val="24"/>
          <w:szCs w:val="24"/>
        </w:rPr>
        <w:t xml:space="preserve">kole, doprinosi iz plaće, rashodi za materijalna prava koja zaposlenici imaju prema Kolektivnom ugovoru te naknada za nezapošljavanje osoba s invaliditetom.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Odlomakpopisa"/>
        <w:numPr>
          <w:ilvl w:val="2"/>
          <w:numId w:val="17"/>
        </w:num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Program 2205 – srednje školstvo – iznad standarda</w:t>
      </w: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PODIZANJE KV</w:t>
      </w:r>
      <w:r>
        <w:rPr>
          <w:rFonts w:ascii="Times New Roman" w:hAnsi="Times New Roman" w:cs="Times New Roman"/>
          <w:b/>
          <w:sz w:val="20"/>
          <w:szCs w:val="20"/>
        </w:rPr>
        <w:t xml:space="preserve">ALITETE I STANDARDA U ŠKOLSTVU</w:t>
      </w:r>
      <w:r>
        <w:rPr>
          <w:rFonts w:ascii="Times New Roman" w:hAnsi="Times New Roman" w:cs="Times New Roman"/>
          <w:b/>
          <w:sz w:val="20"/>
          <w:szCs w:val="20"/>
        </w:rPr>
        <w:t xml:space="preserve">,</w:t>
      </w:r>
      <w:r>
        <w:rPr>
          <w:rFonts w:ascii="Times New Roman" w:hAnsi="Times New Roman" w:cs="Times New Roman"/>
          <w:b/>
          <w:sz w:val="20"/>
          <w:szCs w:val="20"/>
        </w:rPr>
        <w:t xml:space="preserve"> FINANCIRANJE DEFICITARNIH ZANIMANJA, </w:t>
      </w:r>
      <w:r>
        <w:rPr>
          <w:rFonts w:ascii="Times New Roman" w:hAnsi="Times New Roman" w:cs="Times New Roman"/>
          <w:b/>
          <w:sz w:val="20"/>
          <w:szCs w:val="20"/>
        </w:rPr>
        <w:t xml:space="preserve">PROJEKT E-ŠKOLE,</w:t>
      </w:r>
      <w:r>
        <w:rPr>
          <w:rFonts w:ascii="Times New Roman" w:hAnsi="Times New Roman" w:cs="Times New Roman"/>
          <w:b/>
          <w:sz w:val="20"/>
          <w:szCs w:val="20"/>
        </w:rPr>
        <w:t xml:space="preserve"> PROJEKTNA DOKUME</w:t>
      </w:r>
      <w:r>
        <w:rPr>
          <w:rFonts w:ascii="Times New Roman" w:hAnsi="Times New Roman" w:cs="Times New Roman"/>
          <w:b/>
          <w:sz w:val="20"/>
          <w:szCs w:val="20"/>
        </w:rPr>
        <w:t xml:space="preserve">TACIJA,</w:t>
      </w:r>
      <w:r>
        <w:rPr>
          <w:rFonts w:ascii="Times New Roman" w:hAnsi="Times New Roman" w:cs="Times New Roman"/>
          <w:b/>
          <w:sz w:val="20"/>
          <w:szCs w:val="20"/>
        </w:rPr>
        <w:t xml:space="preserve"> ZALIHE MENSTRUALNIH HIGIJENSKIH POTREPŠTINA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>
        <w:trPr>
          <w:cantSplit/>
        </w:trPr>
        <w:tc>
          <w:tcPr>
            <w:tcW w:type="dxa" w:w="1812"/>
            <w:tcBorders/>
            <w:shd w:fill="BFBFBF" w:color="auto" w:val="clear"/>
            <w:vAlign w:val="center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Program</w:t>
            </w:r>
          </w:p>
        </w:tc>
        <w:tc>
          <w:tcPr>
            <w:tcW w:type="dxa" w:w="1812"/>
            <w:tcBorders/>
            <w:shd w:fill="BFBFBF" w:color="auto" w:val="clear"/>
            <w:vAlign w:val="center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Aktivnost</w:t>
            </w:r>
          </w:p>
        </w:tc>
        <w:tc>
          <w:tcPr>
            <w:tcW w:type="dxa" w:w="1812"/>
            <w:tcBorders/>
            <w:shd w:fill="BFBFBF" w:color="auto" w:val="clear"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Planirano</w:t>
            </w:r>
          </w:p>
        </w:tc>
        <w:tc>
          <w:tcPr>
            <w:tcW w:type="dxa" w:w="1813"/>
            <w:tcBorders/>
            <w:shd w:fill="BFBFBF" w:color="auto" w:val="clear"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Izvršenje plana 2025</w:t>
            </w:r>
          </w:p>
        </w:tc>
        <w:tc>
          <w:tcPr>
            <w:tcW w:type="dxa" w:w="1813"/>
            <w:tcBorders/>
            <w:shd w:fill="BFBFBF" w:color="auto" w:val="clear"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Indeks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izvršenja plana 2025</w:t>
            </w:r>
          </w:p>
        </w:tc>
      </w:tr>
      <w:tr>
        <w:trPr/>
        <w:tc>
          <w:tcPr>
            <w:tcW w:type="dxa" w:w="1812"/>
            <w:tcBorders/>
            <w:vAlign w:val="center"/>
          </w:tcPr>
          <w:p>
            <w:pPr>
              <w:spacing w:before="24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2205</w:t>
            </w:r>
          </w:p>
        </w:tc>
        <w:tc>
          <w:tcPr>
            <w:tcW w:type="dxa" w:w="1812"/>
            <w:tcBorders/>
            <w:vAlign w:val="center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A2205 – 12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A2205 – 13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A2205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T2205 – 35 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A2205 – 37 </w:t>
            </w:r>
          </w:p>
        </w:tc>
        <w:tc>
          <w:tcPr>
            <w:tcW w:type="dxa" w:w="1812"/>
            <w:tcBorders/>
            <w:vAlign w:val="center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99.013,76</w:t>
            </w:r>
          </w:p>
        </w:tc>
        <w:tc>
          <w:tcPr>
            <w:tcW w:type="dxa" w:w="1813"/>
            <w:tcBorders/>
            <w:vAlign w:val="center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61.992,27</w:t>
            </w:r>
          </w:p>
        </w:tc>
        <w:tc>
          <w:tcPr>
            <w:tcW w:type="dxa" w:w="1813"/>
            <w:tcBorders/>
            <w:vAlign w:val="center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62,61</w:t>
            </w:r>
          </w:p>
        </w:tc>
      </w:tr>
    </w:tbl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program</w:t>
      </w:r>
      <w:r>
        <w:rPr>
          <w:rFonts w:ascii="Times New Roman" w:hAnsi="Times New Roman" w:cs="Times New Roman"/>
          <w:sz w:val="24"/>
          <w:szCs w:val="24"/>
        </w:rPr>
        <w:t xml:space="preserve">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srednje školstvo – iznad standard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nalaze se </w:t>
      </w:r>
      <w:r>
        <w:rPr>
          <w:rFonts w:ascii="Times New Roman" w:hAnsi="Times New Roman" w:cs="Times New Roman"/>
          <w:sz w:val="24"/>
          <w:szCs w:val="24"/>
        </w:rPr>
        <w:t xml:space="preserve">sredstva za podmirenje rashoda </w:t>
      </w:r>
      <w:r>
        <w:rPr>
          <w:rFonts w:ascii="Times New Roman" w:hAnsi="Times New Roman" w:cs="Times New Roman"/>
          <w:sz w:val="24"/>
          <w:szCs w:val="24"/>
        </w:rPr>
        <w:t xml:space="preserve">za aktivnosti </w:t>
      </w:r>
      <w:r>
        <w:rPr>
          <w:rFonts w:ascii="Times New Roman" w:hAnsi="Times New Roman" w:cs="Times New Roman"/>
          <w:sz w:val="24"/>
          <w:szCs w:val="24"/>
        </w:rPr>
        <w:t xml:space="preserve">E-tehničar, </w:t>
      </w:r>
      <w:r>
        <w:rPr>
          <w:rFonts w:ascii="Times New Roman" w:hAnsi="Times New Roman" w:cs="Times New Roman"/>
          <w:sz w:val="24"/>
          <w:szCs w:val="24"/>
        </w:rPr>
        <w:t xml:space="preserve">uredski namještaj, </w:t>
      </w:r>
      <w:r>
        <w:rPr>
          <w:rFonts w:ascii="Times New Roman" w:hAnsi="Times New Roman" w:cs="Times New Roman"/>
          <w:sz w:val="24"/>
          <w:szCs w:val="24"/>
        </w:rPr>
        <w:t xml:space="preserve">sudske pristojbe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 kupnje zalihe </w:t>
      </w:r>
      <w:r>
        <w:rPr>
          <w:rFonts w:ascii="Times New Roman" w:hAnsi="Times New Roman" w:cs="Times New Roman"/>
          <w:bCs/>
          <w:sz w:val="24"/>
          <w:szCs w:val="24"/>
        </w:rPr>
        <w:t xml:space="preserve">menstrualnih higijenskih potrepština od </w:t>
      </w:r>
      <w:r>
        <w:rPr>
          <w:rFonts w:ascii="Times New Roman" w:hAnsi="Times New Roman" w:cs="Times New Roman"/>
          <w:sz w:val="24"/>
          <w:szCs w:val="24"/>
        </w:rPr>
        <w:t xml:space="preserve">Ministarstva rada, mirovinskog sustava, obitelji i socijalne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politike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Planirane su tekuće pomoći iz Državnog proračuna, odnosno pomoći iz Ministarstva znano</w:t>
      </w:r>
      <w:r>
        <w:rPr>
          <w:rFonts w:ascii="Times New Roman" w:hAnsi="Times New Roman" w:cs="Times New Roman"/>
          <w:sz w:val="24"/>
          <w:szCs w:val="24"/>
        </w:rPr>
        <w:t xml:space="preserve">sti,</w:t>
      </w:r>
      <w:r>
        <w:rPr>
          <w:rFonts w:ascii="Times New Roman" w:hAnsi="Times New Roman" w:cs="Times New Roman"/>
          <w:sz w:val="24"/>
          <w:szCs w:val="24"/>
        </w:rPr>
        <w:t xml:space="preserve"> obrazovanja</w:t>
      </w:r>
      <w:r>
        <w:rPr>
          <w:rFonts w:ascii="Times New Roman" w:hAnsi="Times New Roman" w:cs="Times New Roman"/>
          <w:sz w:val="24"/>
          <w:szCs w:val="24"/>
        </w:rPr>
        <w:t xml:space="preserve"> i mladih</w:t>
      </w:r>
      <w:r>
        <w:rPr>
          <w:rFonts w:ascii="Times New Roman" w:hAnsi="Times New Roman" w:cs="Times New Roman"/>
          <w:sz w:val="24"/>
          <w:szCs w:val="24"/>
        </w:rPr>
        <w:t xml:space="preserve">, na temelju uplata iz prethodnih godina, a za primjerice besplatne udžbenike učenicima slabijeg </w:t>
      </w:r>
      <w:r>
        <w:rPr>
          <w:rFonts w:ascii="Times New Roman" w:hAnsi="Times New Roman" w:cs="Times New Roman"/>
          <w:sz w:val="24"/>
          <w:szCs w:val="24"/>
        </w:rPr>
        <w:t xml:space="preserve">socio</w:t>
      </w:r>
      <w:r>
        <w:rPr>
          <w:rFonts w:ascii="Times New Roman" w:hAnsi="Times New Roman" w:cs="Times New Roman"/>
          <w:sz w:val="24"/>
          <w:szCs w:val="24"/>
        </w:rPr>
        <w:t xml:space="preserve">-ekonomskog statusa, naknadu za prijevoz učenicima s posebnim potreba, novčana sredstva za opremanje knjižnica (lektire, stručna i nastavna literatura) i drugo.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Odlomakpopisa"/>
        <w:numPr>
          <w:ilvl w:val="2"/>
          <w:numId w:val="17"/>
        </w:num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Program 4306 – Nacionalni Eu projekti</w:t>
      </w:r>
    </w:p>
    <w:p>
      <w:pPr>
        <w:spacing w:after="0"/>
        <w:ind w:left="1224" w:firstLine="192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INKLUZIJA – KORAK BLIŽE DRUŠTVU BEZ PREPREKA</w:t>
      </w:r>
      <w:r>
        <w:rPr>
          <w:rFonts w:ascii="Times New Roman" w:hAnsi="Times New Roman" w:cs="Times New Roman"/>
          <w:b/>
          <w:sz w:val="20"/>
          <w:szCs w:val="20"/>
        </w:rPr>
        <w:t xml:space="preserve"> FAZA V.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>
        <w:trPr>
          <w:cantSplit/>
        </w:trPr>
        <w:tc>
          <w:tcPr>
            <w:tcW w:type="dxa" w:w="1812"/>
            <w:tcBorders/>
            <w:shd w:fill="BFBFBF" w:color="auto" w:val="clear"/>
            <w:vAlign w:val="center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Program</w:t>
            </w:r>
          </w:p>
        </w:tc>
        <w:tc>
          <w:tcPr>
            <w:tcW w:type="dxa" w:w="1812"/>
            <w:tcBorders/>
            <w:shd w:fill="BFBFBF" w:color="auto" w:val="clear"/>
            <w:vAlign w:val="center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Projekt</w:t>
            </w:r>
          </w:p>
        </w:tc>
        <w:tc>
          <w:tcPr>
            <w:tcW w:type="dxa" w:w="1812"/>
            <w:tcBorders/>
            <w:shd w:fill="BFBFBF" w:color="auto" w:val="clear"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Planirano</w:t>
            </w:r>
          </w:p>
        </w:tc>
        <w:tc>
          <w:tcPr>
            <w:tcW w:type="dxa" w:w="1813"/>
            <w:tcBorders/>
            <w:shd w:fill="BFBFBF" w:color="auto" w:val="clear"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Izvršenje plana 2025</w:t>
            </w:r>
          </w:p>
        </w:tc>
        <w:tc>
          <w:tcPr>
            <w:tcW w:type="dxa" w:w="1813"/>
            <w:tcBorders/>
            <w:shd w:fill="BFBFBF" w:color="auto" w:val="clear"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Indeks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izvršenja plana 2025</w:t>
            </w:r>
          </w:p>
        </w:tc>
      </w:tr>
      <w:tr>
        <w:trPr/>
        <w:tc>
          <w:tcPr>
            <w:tcW w:type="dxa" w:w="1812"/>
            <w:tcBorders/>
            <w:vAlign w:val="bottom"/>
          </w:tcPr>
          <w:p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4306</w:t>
            </w:r>
          </w:p>
        </w:tc>
        <w:tc>
          <w:tcPr>
            <w:tcW w:type="dxa" w:w="1812"/>
            <w:tcBorders/>
            <w:vAlign w:val="bottom"/>
          </w:tcPr>
          <w:p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T4306-03</w:t>
            </w:r>
          </w:p>
        </w:tc>
        <w:tc>
          <w:tcPr>
            <w:tcW w:type="dxa" w:w="1812"/>
            <w:tcBorders/>
            <w:vAlign w:val="center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57.624,14</w:t>
            </w:r>
          </w:p>
        </w:tc>
        <w:tc>
          <w:tcPr>
            <w:tcW w:type="dxa" w:w="1813"/>
            <w:tcBorders/>
            <w:vAlign w:val="center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64.655,96</w:t>
            </w:r>
          </w:p>
        </w:tc>
        <w:tc>
          <w:tcPr>
            <w:tcW w:type="dxa" w:w="1813"/>
            <w:tcBorders/>
            <w:vAlign w:val="center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112,20</w:t>
            </w:r>
          </w:p>
        </w:tc>
      </w:tr>
    </w:tbl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Pomoćnici u nastavi </w:t>
      </w:r>
      <w:r>
        <w:rPr>
          <w:rFonts w:ascii="Times New Roman" w:hAnsi="Times New Roman" w:cs="Times New Roman"/>
          <w:sz w:val="24"/>
          <w:szCs w:val="24"/>
        </w:rPr>
        <w:t xml:space="preserve">usmjeren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pružanje potpore uključivanju učenika s teškoćama u razvoju u njima primjerene programe odgoja i obrazovanja u osnovnoškolskim i srednjoškolskim odgojno – obrazovnim ustanovama u cilju ostvarivanja njihove uspješnije soc</w:t>
      </w:r>
      <w:r>
        <w:rPr>
          <w:rFonts w:ascii="Times New Roman" w:hAnsi="Times New Roman" w:cs="Times New Roman"/>
          <w:sz w:val="24"/>
          <w:szCs w:val="24"/>
        </w:rPr>
        <w:t xml:space="preserve">ijalizacije te podizanja razine </w:t>
      </w:r>
      <w:r>
        <w:rPr>
          <w:rFonts w:ascii="Times New Roman" w:hAnsi="Times New Roman" w:cs="Times New Roman"/>
          <w:sz w:val="24"/>
          <w:szCs w:val="24"/>
        </w:rPr>
        <w:t xml:space="preserve">njihovih obrazovnih postignuća i emocionalnog funkcioniranja.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Sredstva za projekt osiguravaju se temeljem specifičnih programskih okvira i financijskih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mehanizama definiranim od strane vanjske Agencije.</w:t>
      </w:r>
    </w:p>
    <w:p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</w:t>
      </w:r>
      <w:r>
        <w:rPr>
          <w:rFonts w:ascii="Times New Roman" w:hAnsi="Times New Roman" w:cs="Times New Roman"/>
          <w:sz w:val="24"/>
          <w:szCs w:val="24"/>
        </w:rPr>
        <w:t xml:space="preserve">kola će i dalje odgovorno, zakonito, namjenski, transparentno i svrhovito koristiti proračunska sredstva, kroz pravilno planiranje i kontrolu izvršavanja financijskog plana, a zbog teškog stanja u gospodarstvu nastavit će se mjere racionalizacije i štednje na svim stavkama plana.</w:t>
      </w:r>
    </w:p>
    <w:p>
      <w:pPr>
        <w:spacing w:after="160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Ravnateljica: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Diana Radić Škara, prof.</w:t>
      </w:r>
    </w:p>
    <w:p>
      <w:pPr>
        <w:spacing w:after="160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160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160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160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160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160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160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160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160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160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160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160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160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160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160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bookmarkStart w:id="3" w:name="_GoBack"/>
      <w:bookmarkEnd w:id="3"/>
    </w:p>
    <w:sectPr>
      <w:type w:val="nextPage"/>
      <w:pgSz w:w="11906" w:h="16838"/>
      <w:pgMar w:top="1417" w:right="1417" w:bottom="1276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E4255"/>
    <w:lvl w:ilvl="0">
      <w:start w:val="1"/>
      <w:numFmt w:val="decimal"/>
      <w:suff w:val="tab"/>
      <w:lvlText w:val="3.%1."/>
      <w:pPr>
        <w:spacing/>
        <w:ind w:left="360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432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5040" w:hanging="180"/>
      </w:pPr>
      <w:rPr/>
    </w:lvl>
    <w:lvl w:ilvl="3">
      <w:start w:val="1"/>
      <w:numFmt w:val="decimal"/>
      <w:suff w:val="tab"/>
      <w:lvlText w:val="%4."/>
      <w:pPr>
        <w:spacing/>
        <w:ind w:left="5760" w:hanging="360"/>
      </w:pPr>
      <w:rPr/>
    </w:lvl>
    <w:lvl w:ilvl="4">
      <w:start w:val="1"/>
      <w:numFmt w:val="lowerLetter"/>
      <w:suff w:val="tab"/>
      <w:lvlText w:val="%5."/>
      <w:pPr>
        <w:spacing/>
        <w:ind w:left="648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7200" w:hanging="180"/>
      </w:pPr>
      <w:rPr/>
    </w:lvl>
    <w:lvl w:ilvl="6">
      <w:start w:val="1"/>
      <w:numFmt w:val="decimal"/>
      <w:suff w:val="tab"/>
      <w:lvlText w:val="%7."/>
      <w:pPr>
        <w:spacing/>
        <w:ind w:left="7920" w:hanging="360"/>
      </w:pPr>
      <w:rPr/>
    </w:lvl>
    <w:lvl w:ilvl="7">
      <w:start w:val="1"/>
      <w:numFmt w:val="lowerLetter"/>
      <w:suff w:val="tab"/>
      <w:lvlText w:val="%8."/>
      <w:pPr>
        <w:spacing/>
        <w:ind w:left="864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9360" w:hanging="180"/>
      </w:pPr>
      <w:rPr/>
    </w:lvl>
  </w:abstractNum>
  <w:abstractNum w:abstractNumId="1">
    <w:nsid w:val="02011834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decimal"/>
      <w:suff w:val="tab"/>
      <w:lvlText w:val="%1.%2."/>
      <w:pPr>
        <w:spacing/>
        <w:ind w:left="792" w:hanging="432"/>
      </w:pPr>
      <w:rPr/>
    </w:lvl>
    <w:lvl w:ilvl="2">
      <w:start w:val="1"/>
      <w:numFmt w:val="decimal"/>
      <w:suff w:val="tab"/>
      <w:lvlText w:val="%1.%2.%3."/>
      <w:pPr>
        <w:spacing/>
        <w:ind w:left="1224" w:hanging="504"/>
      </w:pPr>
      <w:rPr/>
    </w:lvl>
    <w:lvl w:ilvl="3">
      <w:start w:val="1"/>
      <w:numFmt w:val="decimal"/>
      <w:suff w:val="tab"/>
      <w:lvlText w:val="%1.%2.%3.%4."/>
      <w:pPr>
        <w:spacing/>
        <w:ind w:left="1728" w:hanging="648"/>
      </w:pPr>
      <w:rPr/>
    </w:lvl>
    <w:lvl w:ilvl="4">
      <w:start w:val="1"/>
      <w:numFmt w:val="decimal"/>
      <w:suff w:val="tab"/>
      <w:lvlText w:val="%1.%2.%3.%4.%5."/>
      <w:pPr>
        <w:spacing/>
        <w:ind w:left="2232" w:hanging="792"/>
      </w:pPr>
      <w:rPr/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/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/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/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/>
    </w:lvl>
  </w:abstractNum>
  <w:abstractNum w:abstractNumId="2">
    <w:nsid w:val="09052E29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0D133230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decimal"/>
      <w:suff w:val="tab"/>
      <w:lvlText w:val="%1.%2."/>
      <w:pPr>
        <w:spacing/>
        <w:ind w:left="792" w:hanging="432"/>
      </w:pPr>
      <w:rPr/>
    </w:lvl>
    <w:lvl w:ilvl="2">
      <w:start w:val="1"/>
      <w:numFmt w:val="decimal"/>
      <w:suff w:val="tab"/>
      <w:lvlText w:val="%1.%2.%3."/>
      <w:pPr>
        <w:spacing/>
        <w:ind w:left="1224" w:hanging="504"/>
      </w:pPr>
      <w:rPr/>
    </w:lvl>
    <w:lvl w:ilvl="3">
      <w:start w:val="1"/>
      <w:numFmt w:val="decimal"/>
      <w:suff w:val="tab"/>
      <w:lvlText w:val="%1.%2.%3.%4."/>
      <w:pPr>
        <w:spacing/>
        <w:ind w:left="1728" w:hanging="648"/>
      </w:pPr>
      <w:rPr/>
    </w:lvl>
    <w:lvl w:ilvl="4">
      <w:start w:val="1"/>
      <w:numFmt w:val="decimal"/>
      <w:suff w:val="tab"/>
      <w:lvlText w:val="%1.%2.%3.%4.%5."/>
      <w:pPr>
        <w:spacing/>
        <w:ind w:left="2232" w:hanging="792"/>
      </w:pPr>
      <w:rPr/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/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/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/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/>
    </w:lvl>
  </w:abstractNum>
  <w:abstractNum w:abstractNumId="4">
    <w:nsid w:val="102C1A26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pPr>
        <w:spacing/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pPr>
        <w:spacing/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pPr>
        <w:spacing/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pPr>
        <w:spacing/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pPr>
        <w:spacing/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pPr>
        <w:spacing/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pPr>
        <w:spacing/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pPr>
        <w:spacing/>
        <w:ind w:left="2160" w:hanging="1800"/>
      </w:pPr>
      <w:rPr>
        <w:rFonts w:hint="default"/>
      </w:rPr>
    </w:lvl>
  </w:abstractNum>
  <w:abstractNum w:abstractNumId="5">
    <w:nsid w:val="10536EF3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6">
    <w:nsid w:val="23D67053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decimal"/>
      <w:suff w:val="tab"/>
      <w:lvlText w:val="%1.%2."/>
      <w:pPr>
        <w:spacing/>
        <w:ind w:left="792" w:hanging="432"/>
      </w:pPr>
      <w:rPr/>
    </w:lvl>
    <w:lvl w:ilvl="2">
      <w:start w:val="1"/>
      <w:numFmt w:val="decimal"/>
      <w:suff w:val="tab"/>
      <w:lvlText w:val="%1.%2.%3."/>
      <w:pPr>
        <w:spacing/>
        <w:ind w:left="1224" w:hanging="504"/>
      </w:pPr>
      <w:rPr/>
    </w:lvl>
    <w:lvl w:ilvl="3">
      <w:start w:val="1"/>
      <w:numFmt w:val="decimal"/>
      <w:suff w:val="tab"/>
      <w:lvlText w:val="%1.%2.%3.%4."/>
      <w:pPr>
        <w:spacing/>
        <w:ind w:left="1728" w:hanging="648"/>
      </w:pPr>
      <w:rPr/>
    </w:lvl>
    <w:lvl w:ilvl="4">
      <w:start w:val="1"/>
      <w:numFmt w:val="decimal"/>
      <w:suff w:val="tab"/>
      <w:lvlText w:val="%1.%2.%3.%4.%5."/>
      <w:pPr>
        <w:spacing/>
        <w:ind w:left="2232" w:hanging="792"/>
      </w:pPr>
      <w:rPr/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/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/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/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/>
    </w:lvl>
  </w:abstractNum>
  <w:abstractNum w:abstractNumId="7">
    <w:nsid w:val="2AB10479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decimal"/>
      <w:suff w:val="tab"/>
      <w:lvlText w:val="%1.%2."/>
      <w:pPr>
        <w:spacing/>
        <w:ind w:left="792" w:hanging="432"/>
      </w:pPr>
      <w:rPr/>
    </w:lvl>
    <w:lvl w:ilvl="2">
      <w:start w:val="1"/>
      <w:numFmt w:val="decimal"/>
      <w:suff w:val="tab"/>
      <w:lvlText w:val="%1.%2.%3."/>
      <w:pPr>
        <w:spacing/>
        <w:ind w:left="1224" w:hanging="504"/>
      </w:pPr>
      <w:rPr/>
    </w:lvl>
    <w:lvl w:ilvl="3">
      <w:start w:val="1"/>
      <w:numFmt w:val="decimal"/>
      <w:suff w:val="tab"/>
      <w:lvlText w:val="%1.%2.%3.%4."/>
      <w:pPr>
        <w:spacing/>
        <w:ind w:left="1728" w:hanging="648"/>
      </w:pPr>
      <w:rPr/>
    </w:lvl>
    <w:lvl w:ilvl="4">
      <w:start w:val="1"/>
      <w:numFmt w:val="decimal"/>
      <w:suff w:val="tab"/>
      <w:lvlText w:val="%1.%2.%3.%4.%5."/>
      <w:pPr>
        <w:spacing/>
        <w:ind w:left="2232" w:hanging="792"/>
      </w:pPr>
      <w:rPr/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/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/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/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/>
    </w:lvl>
  </w:abstractNum>
  <w:abstractNum w:abstractNumId="8">
    <w:nsid w:val="432114FD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decimal"/>
      <w:suff w:val="tab"/>
      <w:lvlText w:val="%1.%2."/>
      <w:pPr>
        <w:spacing/>
        <w:ind w:left="792" w:hanging="432"/>
      </w:pPr>
      <w:rPr/>
    </w:lvl>
    <w:lvl w:ilvl="2">
      <w:start w:val="1"/>
      <w:numFmt w:val="decimal"/>
      <w:suff w:val="tab"/>
      <w:lvlText w:val="%1.%2.%3."/>
      <w:pPr>
        <w:spacing/>
        <w:ind w:left="1224" w:hanging="504"/>
      </w:pPr>
      <w:rPr/>
    </w:lvl>
    <w:lvl w:ilvl="3">
      <w:start w:val="1"/>
      <w:numFmt w:val="decimal"/>
      <w:suff w:val="tab"/>
      <w:lvlText w:val="%1.%2.%3.%4."/>
      <w:pPr>
        <w:spacing/>
        <w:ind w:left="1728" w:hanging="648"/>
      </w:pPr>
      <w:rPr/>
    </w:lvl>
    <w:lvl w:ilvl="4">
      <w:start w:val="1"/>
      <w:numFmt w:val="decimal"/>
      <w:suff w:val="tab"/>
      <w:lvlText w:val="%1.%2.%3.%4.%5."/>
      <w:pPr>
        <w:spacing/>
        <w:ind w:left="2232" w:hanging="792"/>
      </w:pPr>
      <w:rPr/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/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/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/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/>
    </w:lvl>
  </w:abstractNum>
  <w:abstractNum w:abstractNumId="9">
    <w:nsid w:val="51B2652E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decimal"/>
      <w:suff w:val="tab"/>
      <w:lvlText w:val="%1.%2."/>
      <w:pPr>
        <w:spacing/>
        <w:ind w:left="792" w:hanging="432"/>
      </w:pPr>
      <w:rPr/>
    </w:lvl>
    <w:lvl w:ilvl="2">
      <w:start w:val="1"/>
      <w:numFmt w:val="decimal"/>
      <w:suff w:val="tab"/>
      <w:lvlText w:val="%1.%2.%3."/>
      <w:pPr>
        <w:spacing/>
        <w:ind w:left="1224" w:hanging="504"/>
      </w:pPr>
      <w:rPr/>
    </w:lvl>
    <w:lvl w:ilvl="3">
      <w:start w:val="1"/>
      <w:numFmt w:val="decimal"/>
      <w:suff w:val="tab"/>
      <w:lvlText w:val="%1.%2.%3.%4."/>
      <w:pPr>
        <w:spacing/>
        <w:ind w:left="1728" w:hanging="648"/>
      </w:pPr>
      <w:rPr/>
    </w:lvl>
    <w:lvl w:ilvl="4">
      <w:start w:val="1"/>
      <w:numFmt w:val="decimal"/>
      <w:suff w:val="tab"/>
      <w:lvlText w:val="%1.%2.%3.%4.%5."/>
      <w:pPr>
        <w:spacing/>
        <w:ind w:left="2232" w:hanging="792"/>
      </w:pPr>
      <w:rPr/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/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/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/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/>
    </w:lvl>
  </w:abstractNum>
  <w:abstractNum w:abstractNumId="10">
    <w:nsid w:val="54E34A71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decimal"/>
      <w:suff w:val="tab"/>
      <w:lvlText w:val="%1.%2."/>
      <w:pPr>
        <w:spacing/>
        <w:ind w:left="792" w:hanging="432"/>
      </w:pPr>
      <w:rPr/>
    </w:lvl>
    <w:lvl w:ilvl="2">
      <w:start w:val="1"/>
      <w:numFmt w:val="decimal"/>
      <w:suff w:val="tab"/>
      <w:lvlText w:val="%1.%2.%3."/>
      <w:pPr>
        <w:spacing/>
        <w:ind w:left="1224" w:hanging="504"/>
      </w:pPr>
      <w:rPr/>
    </w:lvl>
    <w:lvl w:ilvl="3">
      <w:start w:val="1"/>
      <w:numFmt w:val="decimal"/>
      <w:suff w:val="tab"/>
      <w:lvlText w:val="%1.%2.%3.%4."/>
      <w:pPr>
        <w:spacing/>
        <w:ind w:left="1728" w:hanging="648"/>
      </w:pPr>
      <w:rPr/>
    </w:lvl>
    <w:lvl w:ilvl="4">
      <w:start w:val="1"/>
      <w:numFmt w:val="decimal"/>
      <w:suff w:val="tab"/>
      <w:lvlText w:val="%1.%2.%3.%4.%5."/>
      <w:pPr>
        <w:spacing/>
        <w:ind w:left="2232" w:hanging="792"/>
      </w:pPr>
      <w:rPr/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/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/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/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/>
    </w:lvl>
  </w:abstractNum>
  <w:abstractNum w:abstractNumId="11">
    <w:nsid w:val="56327EE0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57023F84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5D507F1D"/>
    <w:lvl w:ilvl="0">
      <w:start w:val="1"/>
      <w:numFmt w:val="decimal"/>
      <w:suff w:val="tab"/>
      <w:lvlText w:val="3.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4">
    <w:nsid w:val="5F3C3F21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decimal"/>
      <w:suff w:val="tab"/>
      <w:lvlText w:val="%1.%2."/>
      <w:pPr>
        <w:spacing/>
        <w:ind w:left="792" w:hanging="432"/>
      </w:pPr>
      <w:rPr/>
    </w:lvl>
    <w:lvl w:ilvl="2">
      <w:start w:val="1"/>
      <w:numFmt w:val="decimal"/>
      <w:suff w:val="tab"/>
      <w:lvlText w:val="%1.%2.%3."/>
      <w:pPr>
        <w:spacing/>
        <w:ind w:left="1224" w:hanging="504"/>
      </w:pPr>
      <w:rPr/>
    </w:lvl>
    <w:lvl w:ilvl="3">
      <w:start w:val="1"/>
      <w:numFmt w:val="decimal"/>
      <w:suff w:val="tab"/>
      <w:lvlText w:val="%1.%2.%3.%4."/>
      <w:pPr>
        <w:spacing/>
        <w:ind w:left="1728" w:hanging="648"/>
      </w:pPr>
      <w:rPr/>
    </w:lvl>
    <w:lvl w:ilvl="4">
      <w:start w:val="1"/>
      <w:numFmt w:val="decimal"/>
      <w:suff w:val="tab"/>
      <w:lvlText w:val="%1.%2.%3.%4.%5."/>
      <w:pPr>
        <w:spacing/>
        <w:ind w:left="2232" w:hanging="792"/>
      </w:pPr>
      <w:rPr/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/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/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/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/>
    </w:lvl>
  </w:abstractNum>
  <w:abstractNum w:abstractNumId="15">
    <w:nsid w:val="64D17381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6">
    <w:nsid w:val="756F04E0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decimal"/>
      <w:suff w:val="tab"/>
      <w:lvlText w:val="%1.%2."/>
      <w:pPr>
        <w:spacing/>
        <w:ind w:left="792" w:hanging="432"/>
      </w:pPr>
      <w:rPr/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b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/>
    </w:lvl>
    <w:lvl w:ilvl="4">
      <w:start w:val="1"/>
      <w:numFmt w:val="decimal"/>
      <w:suff w:val="tab"/>
      <w:lvlText w:val="%1.%2.%3.%4.%5."/>
      <w:pPr>
        <w:spacing/>
        <w:ind w:left="2232" w:hanging="792"/>
      </w:pPr>
      <w:rPr/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/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/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/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/>
    </w:lvl>
  </w:abstractNum>
  <w:abstractNum w:abstractNumId="17">
    <w:nsid w:val="761C594F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decimal"/>
      <w:suff w:val="tab"/>
      <w:lvlText w:val="%1.%2."/>
      <w:pPr>
        <w:spacing/>
        <w:ind w:left="792" w:hanging="432"/>
      </w:pPr>
      <w:rPr/>
    </w:lvl>
    <w:lvl w:ilvl="2">
      <w:start w:val="1"/>
      <w:numFmt w:val="decimal"/>
      <w:suff w:val="tab"/>
      <w:lvlText w:val="%1.%2.%3."/>
      <w:pPr>
        <w:spacing/>
        <w:ind w:left="1224" w:hanging="504"/>
      </w:pPr>
      <w:rPr/>
    </w:lvl>
    <w:lvl w:ilvl="3">
      <w:start w:val="1"/>
      <w:numFmt w:val="decimal"/>
      <w:suff w:val="tab"/>
      <w:lvlText w:val="%1.%2.%3.%4."/>
      <w:pPr>
        <w:spacing/>
        <w:ind w:left="1728" w:hanging="648"/>
      </w:pPr>
      <w:rPr/>
    </w:lvl>
    <w:lvl w:ilvl="4">
      <w:start w:val="1"/>
      <w:numFmt w:val="decimal"/>
      <w:suff w:val="tab"/>
      <w:lvlText w:val="%1.%2.%3.%4.%5."/>
      <w:pPr>
        <w:spacing/>
        <w:ind w:left="2232" w:hanging="792"/>
      </w:pPr>
      <w:rPr/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/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/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/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/>
    </w:lvl>
  </w:abstractNum>
  <w:abstractNum w:abstractNumId="18">
    <w:nsid w:val="79F911B4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decimal"/>
      <w:suff w:val="tab"/>
      <w:lvlText w:val="%1.%2."/>
      <w:pPr>
        <w:spacing/>
        <w:ind w:left="792" w:hanging="432"/>
      </w:pPr>
      <w:rPr/>
    </w:lvl>
    <w:lvl w:ilvl="2">
      <w:start w:val="1"/>
      <w:numFmt w:val="decimal"/>
      <w:suff w:val="tab"/>
      <w:lvlText w:val="%1.%2.%3."/>
      <w:pPr>
        <w:spacing/>
        <w:ind w:left="1224" w:hanging="504"/>
      </w:pPr>
      <w:rPr/>
    </w:lvl>
    <w:lvl w:ilvl="3">
      <w:start w:val="1"/>
      <w:numFmt w:val="decimal"/>
      <w:suff w:val="tab"/>
      <w:lvlText w:val="%1.%2.%3.%4."/>
      <w:pPr>
        <w:spacing/>
        <w:ind w:left="1728" w:hanging="648"/>
      </w:pPr>
      <w:rPr/>
    </w:lvl>
    <w:lvl w:ilvl="4">
      <w:start w:val="1"/>
      <w:numFmt w:val="decimal"/>
      <w:suff w:val="tab"/>
      <w:lvlText w:val="%1.%2.%3.%4.%5."/>
      <w:pPr>
        <w:spacing/>
        <w:ind w:left="2232" w:hanging="792"/>
      </w:pPr>
      <w:rPr/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/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/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/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/>
    </w:lvl>
  </w:abstractNum>
  <w:abstractNum w:abstractNumId="19">
    <w:nsid w:val="7F4D0885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00" w:line="276" w:lineRule="auto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Tekstrezerviranogmjesta" w:customStyle="1">
    <w:name w:val="Placeholder Text"/>
    <w:basedOn w:val="Zadanifontodlomka"/>
    <w:uiPriority w:val="99"/>
    <w:semiHidden/>
    <w:rPr>
      <w:color w:val="808080"/>
    </w:r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fontTable" Target="fontTable.xml" /><Relationship Id="rId1" Type="http://schemas.openxmlformats.org/officeDocument/2006/relationships/image" Target="media/image1.wmf" /><Relationship Id="rId3" Type="http://schemas.openxmlformats.org/officeDocument/2006/relationships/image" Target="media/image2.png" /><Relationship Id="rId2" Type="http://schemas.openxmlformats.org/officeDocument/2006/relationships/oleObject" Target="embeddings/oleObject3.bin" /><Relationship Id="rId9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2195D-705D-4624-9DAC-8232E2AF824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2137</TotalTime>
  <Pages>7</Pages>
  <Words>2411</Words>
  <Characters>13744</Characters>
  <Application>Microsoft Office Word</Application>
  <DocSecurity>0</DocSecurity>
  <Lines>114</Lines>
  <Paragraphs>32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Racunovodja</dc:creator>
  <cp:keywords/>
  <dc:description/>
  <cp:lastModifiedBy>Racunovodja</cp:lastModifiedBy>
  <cp:lastPrinted>2026-03-17T11:47:00Z</cp:lastPrinted>
  <cp:revision>82</cp:revision>
  <dcterms:created xsi:type="dcterms:W3CDTF">2024-03-25T10:21:00Z</dcterms:created>
  <dcterms:modified xsi:type="dcterms:W3CDTF">2026-03-27T08:41:00Z</dcterms:modified>
</cp:coreProperties>
</file>