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F04" w:rsidRDefault="008B26AC">
      <w:pPr>
        <w:pStyle w:val="Bezproreda1"/>
      </w:pPr>
      <w:r>
        <w:object w:dxaOrig="304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41.25pt;visibility:visible;mso-position-horizontal-relative:margin;mso-position-vertical-relative:margin" o:ole="" o:bordertopcolor="black" o:borderleftcolor="black" o:borderbottomcolor="black" o:borderrightcolor="black">
            <v:imagedata r:id="rId5" o:title=""/>
          </v:shape>
          <o:OLEObject Type="Embed" ProgID="Word.Picture.8" ShapeID="_x0000_i1025" DrawAspect="Content" ObjectID="_1837070549" r:id="rId6"/>
        </w:object>
      </w:r>
    </w:p>
    <w:p w:rsidR="006E0F04" w:rsidRDefault="008B26AC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HOTELIJERSKO-TURISTIČKA I</w:t>
      </w:r>
    </w:p>
    <w:p w:rsidR="006E0F04" w:rsidRDefault="008B26AC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UGOSTITELJSKA ŠKOLA - ZADAR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E0F04" w:rsidRDefault="008B26AC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Antuna Gustava Matoša 40, 23000 Zadar</w:t>
      </w:r>
    </w:p>
    <w:p w:rsidR="006E0F04" w:rsidRDefault="008B26AC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023 335 295 E-mail: </w:t>
      </w:r>
      <w:hyperlink r:id="rId7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htus@htus.htnet.hr</w:t>
        </w:r>
      </w:hyperlink>
    </w:p>
    <w:p w:rsidR="006E0F04" w:rsidRDefault="008B26AC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400-02/26-01/2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6E0F04" w:rsidRDefault="008B26AC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    </w:t>
      </w:r>
      <w:r>
        <w:rPr>
          <w:rFonts w:ascii="Times New Roman" w:hAnsi="Times New Roman" w:cs="Times New Roman"/>
          <w:noProof/>
          <w:sz w:val="24"/>
          <w:szCs w:val="24"/>
        </w:rPr>
        <w:t>2198-1-61-26-1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6E0F04" w:rsidRDefault="008B26AC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27. ožujka 2026.</w:t>
      </w:r>
    </w:p>
    <w:p w:rsidR="006E0F04" w:rsidRDefault="008B26A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odredbe članka 215. stavka 6. Pravilnika o proračunskom računovodstvu i računskom planu (NN br. 158/23. i 154/24.) te članka 91. Statuta Hotelijersko – turističke i ugostit</w:t>
      </w:r>
      <w:r w:rsidR="001D4EAA">
        <w:rPr>
          <w:rFonts w:ascii="Times New Roman" w:hAnsi="Times New Roman" w:cs="Times New Roman"/>
          <w:sz w:val="24"/>
          <w:szCs w:val="24"/>
        </w:rPr>
        <w:t>eljske škole  Zadar, Školski odbor donosi</w:t>
      </w:r>
    </w:p>
    <w:p w:rsidR="006E0F04" w:rsidRDefault="006E0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F04" w:rsidRDefault="008B2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 O RASPOREDU REZULTATA POSLOVANJA</w:t>
      </w:r>
    </w:p>
    <w:p w:rsidR="006E0F04" w:rsidRDefault="008B26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2025. GODINU</w:t>
      </w:r>
    </w:p>
    <w:p w:rsidR="006E0F04" w:rsidRDefault="008B26AC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6E0F04" w:rsidRDefault="008B26AC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Hotelijersko – turistička i ugostiteljska škola Zadar je na dan 31. 12. 2025. godine ostvarila ukupne rashode u iznosu od 2.563.658,23 EUR od čega rashodi za nabavu nefinancijske imovine iznose 3.023,99 EUR i odnose se na nabavu lektire i uredskog namještaja.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škole te preneseni višak prihoda iz 2024. godine ukupno iznose  2.426.414,99 EUR.</w:t>
      </w:r>
    </w:p>
    <w:p w:rsidR="006E0F04" w:rsidRDefault="008B26A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prebijanja viškova i manjkova po istovrsnim kategorijama i izvorima financiranja te provođenja obvezne korekcije rezultata prema čl. 215. Pravilnika o proračunskom računovodstvu i  Računskom planu (NN br. 158/23 i 154/24)  dolazi se do rezultata za 2025. godinu. </w:t>
      </w:r>
    </w:p>
    <w:p w:rsidR="006E0F04" w:rsidRDefault="008B26AC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6E0F04" w:rsidRDefault="008B26AC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poslovanja za 2025. godinu iznosi -137.243,24 EUR. Taj manjak sastoji se od metodološkog manjka u iznosu od 193.155,99 EUR i on se u cijelosti podmiruje u siječnju 2026. godine budući da su stupanjem na snagu novog Pravilnika o proračunskom računovodstvu i računskom planu od 1. siječnja 2025. godine ukinuti kontinuirani rashodi koji se odnose na plaću, materijalna prava zaposlenih, naknadu zbog nezapošljavanja osoba s invaliditetom, naknadu za prijevoz na posao i s posla kao i tekuće račune za prosinac 2025. godine – KTO skupine 193. Ovom promjenom navedeni izdaci su odmah knjiženi na rashode u trenutku nastanka poslovnog događaja.</w:t>
      </w:r>
    </w:p>
    <w:p w:rsidR="006E0F04" w:rsidRDefault="008B26AC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Utvrđeni metodološki manjak iz članka II. ove Odluke odnosi se na sljedeće izvore financiranja: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izvor 51 Državni proračun – MZOM ukupni manjak na dan 31. 12. 2025. iznosi 182.220,77 EUR, a obuhvaća plaću, naknadu zbog nezapošljavanja osoba s invaliditetom i materijalna prava zaposlenih za prosinac 2025.godine te prijevoz djece s posebnim 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izvor 45 DEC Nadležan proračun – Županija za financiranje redovnog poslovanja škole;</w:t>
      </w:r>
    </w:p>
    <w:p w:rsidR="006E0F04" w:rsidRDefault="008B2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manjak na dan 31. 12. 2025. iznosi 10.935,22 EUR, a odnosi se na prijevoz zaposlenika, tekuće račune te plaću za pomoćnike u nastavi za prosinac 2025. </w:t>
      </w:r>
    </w:p>
    <w:p w:rsidR="006E0F04" w:rsidRDefault="008B26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 dio rezultata poslovanja čini stvarni višak prihoda od vlastitih i namjenskih sredstava u iznosu od 55.912,75 EUR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6"/>
        <w:gridCol w:w="4641"/>
        <w:gridCol w:w="1559"/>
      </w:tblGrid>
      <w:tr w:rsidR="006E0F04">
        <w:tc>
          <w:tcPr>
            <w:tcW w:w="1166" w:type="dxa"/>
            <w:shd w:val="clear" w:color="auto" w:fill="BFBFBF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641" w:type="dxa"/>
            <w:shd w:val="clear" w:color="auto" w:fill="BFBFBF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Prihod</w:t>
            </w:r>
          </w:p>
        </w:tc>
        <w:tc>
          <w:tcPr>
            <w:tcW w:w="1559" w:type="dxa"/>
            <w:shd w:val="clear" w:color="auto" w:fill="BFBFBF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Vlastiti prihodi – izvor 31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42.925,01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MZO – Državni proračun – izvor 51</w:t>
            </w:r>
          </w:p>
        </w:tc>
        <w:tc>
          <w:tcPr>
            <w:tcW w:w="1559" w:type="dxa"/>
            <w:vAlign w:val="center"/>
          </w:tcPr>
          <w:p w:rsidR="006E0F04" w:rsidRDefault="008B26AC">
            <w:pPr>
              <w:shd w:val="clear" w:color="000000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1.086,41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Donacije – izvor 61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10.671,86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 županijskog stručnog vijeća – izvor 51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1.229,47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55.912,75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E0F04" w:rsidRDefault="006E0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F04" w:rsidRDefault="008B26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gore navedenom višak prihoda iz 2025. godine u 2026. utrošit će se: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66"/>
        <w:gridCol w:w="4641"/>
        <w:gridCol w:w="1559"/>
      </w:tblGrid>
      <w:tr w:rsidR="006E0F04">
        <w:tc>
          <w:tcPr>
            <w:tcW w:w="1166" w:type="dxa"/>
            <w:shd w:val="clear" w:color="auto" w:fill="BFBFBF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641" w:type="dxa"/>
            <w:shd w:val="clear" w:color="auto" w:fill="BFBFBF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Rashodi</w:t>
            </w:r>
          </w:p>
        </w:tc>
        <w:tc>
          <w:tcPr>
            <w:tcW w:w="1559" w:type="dxa"/>
            <w:shd w:val="clear" w:color="auto" w:fill="BFBFBF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Službena putovanja 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Uredski materijal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Materijal i sirovine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Materijal i dijelovi za tekuće i investicijskog održavanje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Sitni inventar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Ostale usluge za komunikaciju i prijevoz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Zakupnine i najamnine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Intelektualne i osobne usluge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Pristojbe i naknade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Ostali nespomenuti rashodi poslovanja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1.412,75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Računalna oprema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Uredska oprema i namještaj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Oprema za grijanje, ventilaciju i hlađenje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Knjige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1.000,00</w:t>
            </w:r>
          </w:p>
        </w:tc>
      </w:tr>
      <w:tr w:rsidR="006E0F04">
        <w:tc>
          <w:tcPr>
            <w:tcW w:w="1166" w:type="dxa"/>
          </w:tcPr>
          <w:p w:rsidR="006E0F04" w:rsidRDefault="006E0F04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1" w:type="dxa"/>
          </w:tcPr>
          <w:p w:rsidR="006E0F04" w:rsidRDefault="008B26A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559" w:type="dxa"/>
            <w:vAlign w:val="bottom"/>
          </w:tcPr>
          <w:p w:rsidR="006E0F04" w:rsidRDefault="008B26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55.912,75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6E0F04" w:rsidRDefault="006E0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F04" w:rsidRDefault="008B2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F04" w:rsidRDefault="006E0F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6E0F04" w:rsidRDefault="008B26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raspodjeli rezultata uključit će se u izradi izmjena i dopuna financijskog plana za 2026. godinu – Rebalans I.</w:t>
      </w:r>
    </w:p>
    <w:p w:rsidR="006E0F04" w:rsidRDefault="006E0F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F04" w:rsidRDefault="008B26AC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6E0F04" w:rsidRDefault="008B26AC">
      <w:pPr>
        <w:spacing w:after="0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Orlandini Aunedi, prof.</w:t>
      </w:r>
    </w:p>
    <w:p w:rsidR="006E0F04" w:rsidRDefault="006E0F04"/>
    <w:sectPr w:rsidR="006E0F0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E29"/>
    <w:multiLevelType w:val="multilevel"/>
    <w:tmpl w:val="51769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23F84"/>
    <w:multiLevelType w:val="multilevel"/>
    <w:tmpl w:val="01EE6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4"/>
    <w:rsid w:val="001D4EAA"/>
    <w:rsid w:val="006E0F04"/>
    <w:rsid w:val="008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0D545"/>
  <w15:docId w15:val="{68A60820-6836-47D6-9FA4-86FD84B9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us@htus.ht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Racunovodja</dc:creator>
  <cp:keywords/>
  <dc:description/>
  <cp:lastModifiedBy>Tajnistvo</cp:lastModifiedBy>
  <cp:revision>5</cp:revision>
  <dcterms:created xsi:type="dcterms:W3CDTF">2026-04-07T10:33:00Z</dcterms:created>
  <dcterms:modified xsi:type="dcterms:W3CDTF">2026-04-07T10:36:00Z</dcterms:modified>
</cp:coreProperties>
</file>