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9"/>
      </w:tblGrid>
      <w:tr>
        <w:trPr>
          <w:trHeight w:val="2828" w:hRule="atLeast"/>
        </w:trPr>
        <w:tc>
          <w:tcPr>
            <w:tcW w:type="dxa" w:w="6379"/>
            <w:tcBorders/>
          </w:tcPr>
          <w:tbl>
            <w:tblPr>
              <w:tblStyle w:val="Reetkatablice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4138"/>
              <w:gridCol w:w="2025"/>
            </w:tblGrid>
            <w:tr>
              <w:trPr>
                <w:trHeight w:val="2828" w:hRule="atLeast"/>
              </w:trPr>
              <w:tc>
                <w:tcPr>
                  <w:tcW w:type="dxa" w:w="6379"/>
                  <w:tcBorders/>
                </w:tcPr>
                <w:p>
                  <w:pPr>
                    <w:widowControl w:val="false"/>
                    <w:autoSpaceDE w:val="false"/>
                    <w:autoSpaceDN w:val="false"/>
                    <w:adjustRightInd w:val="false"/>
                    <w:spacing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2" w:name="_Hlk128748807"/>
                  <w:r>
                    <w:rPr>
                      <w:rFonts w:ascii="Arial" w:hAnsi="Arial" w:cs="Arial"/>
                      <w:sz w:val="20"/>
                      <w:szCs w:val="20"/>
                    </w:rPr>
                    <w:object>
                      <v:shape id="_x0000_i1025" type="#_x0000_t75" style="margin-left:0pt;margin-top:0pt;width:153pt;height:42.75pt;mso-position-horizontal-relative:margin;mso-position-vertical-relative:margin;visibility:visible" o:ole="" o:bordertopcolor="#000000" o:borderleftcolor="#000000" o:borderbottomcolor="#000000" o:borderrightcolor="#000000">
                        <v:imagedata r:id="rId1" o:title=""/>
                      </v:shape>
                      <o:OLEObject Type="Embed" ProgID="Word.Picture.8" ShapeID="_x0000_i1025" DrawAspect="Content" r:id="rId2" ObjectID="_1846302112"/>
                    </w:object>
                  </w:r>
                </w:p>
                <w:p>
                  <w:pPr>
                    <w:widowControl w:val="false"/>
                    <w:autoSpaceDE w:val="false"/>
                    <w:autoSpaceDN w:val="false"/>
                    <w:adjustRightInd w:val="false"/>
                    <w:spacing w:after="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HOTELIJERSKO-TURISTIČKA I</w:t>
                  </w:r>
                </w:p>
                <w:p>
                  <w:pPr>
                    <w:widowControl w:val="false"/>
                    <w:tabs>
                      <w:tab w:val="left" w:pos="8340"/>
                    </w:tabs>
                    <w:autoSpaceDE w:val="false"/>
                    <w:autoSpaceDN w:val="false"/>
                    <w:adjustRightInd w:val="false"/>
                    <w:spacing w:after="0" w:line="240" w:lineRule="atLeast"/>
                    <w:ind w:left="11" w:hanging="11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UGOSTITELJSKA ŠKOLA - ZADAR</w:t>
                  </w:r>
                </w:p>
                <w:p>
                  <w:pPr>
                    <w:widowControl w:val="false"/>
                    <w:autoSpaceDE w:val="false"/>
                    <w:autoSpaceDN w:val="false"/>
                    <w:adjustRightInd w:val="false"/>
                    <w:spacing w:after="0" w:line="240" w:lineRule="atLeast"/>
                    <w:ind w:left="11" w:hanging="1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Antuna Gustava Matoša 40, 23000 Zadar</w:t>
                  </w:r>
                </w:p>
                <w:p>
                  <w:pPr>
                    <w:widowControl w:val="false"/>
                    <w:autoSpaceDE w:val="false"/>
                    <w:autoSpaceDN w:val="false"/>
                    <w:adjustRightInd w:val="false"/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Tel: 023 335 295 E-mail: </w:t>
                  </w:r>
                  <w:r>
                    <w:rPr/>
                    <w:fldChar w:fldCharType="begin"/>
                  </w:r>
                  <w:r>
                    <w:rPr/>
                    <w:instrText xml:space="preserve">HYPERLINK "mailto:htus@htus.htnet.hr" </w:instrText>
                  </w:r>
                  <w:r>
                    <w:rPr/>
                    <w:fldChar w:fldCharType="separate"/>
                  </w:r>
                  <w:r>
                    <w:rPr>
                      <w:rStyle w:val="Hiperveza"/>
                      <w:rFonts w:ascii="Times New Roman" w:hAnsi="Times New Roman" w:cs="Times New Roman"/>
                      <w:sz w:val="20"/>
                      <w:szCs w:val="20"/>
                    </w:rPr>
                    <w:t xml:space="preserve">htus@htus.htnet.hr</w:t>
                  </w:r>
                  <w:r>
                    <w:rPr/>
                    <w:fldChar w:fldCharType="end"/>
                  </w:r>
                </w:p>
                <w:p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KLASA:       </w:t>
                  </w:r>
                  <w:r>
                    <w:rPr>
                      <w:rFonts w:ascii="Times New Roman" w:hAnsi="Times New Roman" w:cs="Times New Roman"/>
                      <w:noProof/>
                      <w:lang w:val="en-US"/>
                    </w:rPr>
                    <w:t xml:space="preserve">400-02/26-01/3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                                                 URBROJ:     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 xml:space="preserve">2198-1-61-26-1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</w:t>
                  </w:r>
                </w:p>
                <w:p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Zadar, 23</w:t>
                  </w:r>
                  <w:r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 xml:space="preserve">srpnja</w:t>
                  </w:r>
                  <w:r>
                    <w:rPr>
                      <w:rFonts w:ascii="Times New Roman" w:hAnsi="Times New Roman" w:cs="Times New Roman"/>
                    </w:rPr>
                    <w:t xml:space="preserve"> 2026. godine</w:t>
                  </w:r>
                </w:p>
              </w:tc>
              <w:tc>
                <w:tcPr>
                  <w:tcW w:type="dxa" w:w="2693"/>
                  <w:tcBorders/>
                </w:tcPr>
                <w:p>
                  <w:pPr>
                    <w:spacing w:after="160" w:line="259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/>
                    <w:drawing>
                      <wp:inline>
                        <wp:extent cx="933580" cy="933580"/>
                        <wp:docPr id="1" name="Picture 2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580" cy="9335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bookmarkEnd w:id="2"/>
    </w:tbl>
    <w:p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OBRAZLOŽENJE UZ </w:t>
      </w:r>
      <w:r>
        <w:rPr>
          <w:rFonts w:ascii="Times New Roman" w:hAnsi="Times New Roman" w:cs="Times New Roman"/>
          <w:b/>
          <w:sz w:val="28"/>
          <w:szCs w:val="28"/>
        </w:rPr>
        <w:t xml:space="preserve">POLU</w:t>
      </w:r>
      <w:r>
        <w:rPr>
          <w:rFonts w:ascii="Times New Roman" w:hAnsi="Times New Roman" w:cs="Times New Roman"/>
          <w:b/>
          <w:sz w:val="28"/>
          <w:szCs w:val="28"/>
        </w:rPr>
        <w:t xml:space="preserve">GODIŠNJI IZVJEŠTAJ O IZVR</w:t>
      </w:r>
      <w:r>
        <w:rPr>
          <w:rFonts w:ascii="Times New Roman" w:hAnsi="Times New Roman" w:cs="Times New Roman"/>
          <w:b/>
          <w:sz w:val="28"/>
          <w:szCs w:val="28"/>
        </w:rPr>
        <w:t xml:space="preserve">ŠENJU FINANCIJSKOG PLANA ZA 2026</w:t>
      </w:r>
      <w:r>
        <w:rPr>
          <w:rFonts w:ascii="Times New Roman" w:hAnsi="Times New Roman" w:cs="Times New Roman"/>
          <w:b/>
          <w:sz w:val="28"/>
          <w:szCs w:val="28"/>
        </w:rPr>
        <w:t xml:space="preserve">. GODINU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/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Sadržaj, podnošenje i donošenje izvještaja o izvršenju financijskog plana proračunskog i izvanproračunskog </w:t>
      </w:r>
      <w:r>
        <w:rPr>
          <w:rFonts w:ascii="Times New Roman" w:hAnsi="Times New Roman" w:cs="Times New Roman"/>
          <w:bCs/>
          <w:sz w:val="24"/>
          <w:szCs w:val="24"/>
        </w:rPr>
        <w:t xml:space="preserve">korisnika propisan je u čl. 81.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86. Zakona o proračunu</w:t>
      </w:r>
      <w:r>
        <w:rPr>
          <w:rFonts w:ascii="Times New Roman" w:hAnsi="Times New Roman" w:cs="Times New Roman"/>
          <w:bCs/>
          <w:sz w:val="24"/>
          <w:szCs w:val="24"/>
        </w:rPr>
        <w:t xml:space="preserve"> (NN br. 144/21)</w:t>
      </w:r>
      <w:r>
        <w:rPr>
          <w:rFonts w:ascii="Times New Roman" w:hAnsi="Times New Roman" w:cs="Times New Roman"/>
          <w:bCs/>
          <w:sz w:val="24"/>
          <w:szCs w:val="24"/>
        </w:rPr>
        <w:t xml:space="preserve">,</w:t>
      </w:r>
      <w:r>
        <w:rPr/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detaljno uređen Pravilnikom o polugodišnjem i godišnjem izvještaj o izvršenju proračun</w:t>
      </w:r>
      <w:r>
        <w:rPr>
          <w:rFonts w:ascii="Times New Roman" w:hAnsi="Times New Roman" w:cs="Times New Roman"/>
          <w:bCs/>
          <w:sz w:val="24"/>
          <w:szCs w:val="24"/>
        </w:rPr>
        <w:t xml:space="preserve">a i financijskog plana (NN</w:t>
      </w:r>
      <w:r>
        <w:rPr>
          <w:rFonts w:ascii="Times New Roman" w:hAnsi="Times New Roman" w:cs="Times New Roman"/>
          <w:bCs/>
          <w:sz w:val="24"/>
          <w:szCs w:val="24"/>
        </w:rPr>
        <w:t xml:space="preserve"> br. 85/23</w:t>
      </w:r>
      <w:r>
        <w:rPr>
          <w:rFonts w:ascii="Times New Roman" w:hAnsi="Times New Roman" w:cs="Times New Roman"/>
          <w:bCs/>
          <w:sz w:val="24"/>
          <w:szCs w:val="24"/>
        </w:rPr>
        <w:t xml:space="preserve">).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Člankom 86. Zakona o proračunu i člankom 52. Pravilnika o polugodišnjem i godišnjem izvještaju o izvršenju proračuna i financijskog plana obveza je ravnatelja Hotelijersko – turističke i ugostiteljske škole</w:t>
      </w:r>
      <w:r>
        <w:rPr>
          <w:rFonts w:ascii="Times New Roman" w:hAnsi="Times New Roman" w:cs="Times New Roman"/>
          <w:bCs/>
          <w:sz w:val="24"/>
          <w:szCs w:val="24"/>
        </w:rPr>
        <w:t xml:space="preserve"> Zadar </w:t>
      </w:r>
      <w:r>
        <w:rPr>
          <w:rFonts w:ascii="Times New Roman" w:hAnsi="Times New Roman" w:cs="Times New Roman"/>
          <w:bCs/>
          <w:sz w:val="24"/>
          <w:szCs w:val="24"/>
        </w:rPr>
        <w:t xml:space="preserve">podnijeti prijedlog polugodišnjeg izvještaja o izvršenju </w:t>
      </w:r>
      <w:r>
        <w:rPr>
          <w:rFonts w:ascii="Times New Roman" w:hAnsi="Times New Roman" w:cs="Times New Roman"/>
          <w:bCs/>
          <w:sz w:val="24"/>
          <w:szCs w:val="24"/>
        </w:rPr>
        <w:t xml:space="preserve"> školskom odboru izvještaj o izvršenju financijskog plana za razdoblje od 1. siječnj</w:t>
      </w:r>
      <w:r>
        <w:rPr>
          <w:rFonts w:ascii="Times New Roman" w:hAnsi="Times New Roman" w:cs="Times New Roman"/>
          <w:bCs/>
          <w:sz w:val="24"/>
          <w:szCs w:val="24"/>
        </w:rPr>
        <w:t xml:space="preserve">a do 30. lipnja 2026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godine</w:t>
      </w:r>
      <w:r>
        <w:rPr>
          <w:rFonts w:ascii="Times New Roman" w:hAnsi="Times New Roman" w:cs="Times New Roman"/>
          <w:bCs/>
          <w:sz w:val="24"/>
          <w:szCs w:val="24"/>
        </w:rPr>
        <w:t xml:space="preserve"> najkasnije do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31. srpanja 2026. godine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Obveza izrade izvještaja o izvršenju za svakog proračunskog korisnika proizlazi iz činjenice da je financijski plan (koji je dio proračuna) donesen na razini svakog korisnika i usvojen od strane njegovog upravljačkog tijela, a izvještaj o izvršenju pokazuje ostvarenje tog plana. 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Izvještaj o izvršenju financijskog plana prati jesu li se i kojim iznosima ostvarile planirane pozicije prihoda, primitaka, rashoda, izdataka, viškova i manjkova unutar godi</w:t>
      </w:r>
      <w:r>
        <w:rPr>
          <w:rFonts w:ascii="Times New Roman" w:hAnsi="Times New Roman" w:cs="Times New Roman"/>
          <w:bCs/>
          <w:sz w:val="24"/>
          <w:szCs w:val="24"/>
        </w:rPr>
        <w:t xml:space="preserve">šnjeg razdoblja. U privitku </w:t>
      </w:r>
      <w:r>
        <w:rPr>
          <w:rFonts w:ascii="Times New Roman" w:hAnsi="Times New Roman" w:cs="Times New Roman"/>
          <w:bCs/>
          <w:sz w:val="24"/>
          <w:szCs w:val="24"/>
        </w:rPr>
        <w:t xml:space="preserve">se dostavlja Polug</w:t>
      </w:r>
      <w:r>
        <w:rPr>
          <w:rFonts w:ascii="Times New Roman" w:hAnsi="Times New Roman" w:cs="Times New Roman"/>
          <w:bCs/>
          <w:sz w:val="24"/>
          <w:szCs w:val="24"/>
        </w:rPr>
        <w:t xml:space="preserve">odišnji izvještaj o godišnjem izvr</w:t>
      </w:r>
      <w:r>
        <w:rPr>
          <w:rFonts w:ascii="Times New Roman" w:hAnsi="Times New Roman" w:cs="Times New Roman"/>
          <w:bCs/>
          <w:sz w:val="24"/>
          <w:szCs w:val="24"/>
        </w:rPr>
        <w:t xml:space="preserve">šenju financijskog plana za 2026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godinu </w:t>
      </w:r>
      <w:r>
        <w:rPr>
          <w:rFonts w:ascii="Times New Roman" w:hAnsi="Times New Roman" w:cs="Times New Roman"/>
          <w:bCs/>
          <w:sz w:val="24"/>
          <w:szCs w:val="24"/>
        </w:rPr>
        <w:t xml:space="preserve">koji sadrži:</w:t>
      </w:r>
    </w:p>
    <w:p>
      <w:pPr>
        <w:pStyle w:val="Odlomakpopis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Opći dio </w:t>
      </w:r>
    </w:p>
    <w:p>
      <w:pPr>
        <w:pStyle w:val="Odlomakpopis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Posebni dio </w:t>
      </w:r>
    </w:p>
    <w:p>
      <w:pPr>
        <w:pStyle w:val="Odlomakpopis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Obrazloženje</w:t>
      </w:r>
    </w:p>
    <w:p>
      <w:pPr>
        <w:pStyle w:val="Odlomakpopisa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Posebne izvještaje</w:t>
      </w:r>
    </w:p>
    <w:p>
      <w:pPr>
        <w:pStyle w:val="Odlomakpopis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Opći dio</w:t>
      </w:r>
      <w:r>
        <w:rPr>
          <w:rFonts w:ascii="Times New Roman" w:hAnsi="Times New Roman" w:cs="Times New Roman"/>
          <w:bCs/>
          <w:sz w:val="24"/>
          <w:szCs w:val="24"/>
        </w:rPr>
        <w:t xml:space="preserve"> sadrži:</w:t>
      </w:r>
    </w:p>
    <w:p>
      <w:pPr>
        <w:pStyle w:val="Odlomakpopis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Sažetak računa prihoda i rashoda</w:t>
      </w:r>
    </w:p>
    <w:p>
      <w:pPr>
        <w:pStyle w:val="Odlomakpopis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Račun prihoda i rashoda:</w:t>
      </w:r>
    </w:p>
    <w:p>
      <w:pPr>
        <w:pStyle w:val="Odlomakpopisa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izvještaj o prihodima i rashodima prema ekonomskoj klasifikaciji</w:t>
      </w:r>
    </w:p>
    <w:p>
      <w:pPr>
        <w:pStyle w:val="Odlomakpopisa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izvještaj o prihodima i rashodima prema izvorima financiranja</w:t>
      </w:r>
    </w:p>
    <w:p>
      <w:pPr>
        <w:pStyle w:val="Odlomakpopisa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izvještaj o rashodima prema funkcijskog klasifikaciji</w:t>
      </w:r>
    </w:p>
    <w:p>
      <w:pPr>
        <w:pStyle w:val="Odlomakpopis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Račun financiranja:</w:t>
      </w:r>
    </w:p>
    <w:p>
      <w:pPr>
        <w:pStyle w:val="Odlomakpopisa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izvještaj računa financiranja prema ekonomskoj klasifikaciji</w:t>
      </w:r>
    </w:p>
    <w:p>
      <w:pPr>
        <w:pStyle w:val="Odlomakpopisa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izvještaj računa financiranja prema izvorima financiranja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Posebni dio</w:t>
      </w:r>
      <w:r>
        <w:rPr>
          <w:rFonts w:ascii="Times New Roman" w:hAnsi="Times New Roman" w:cs="Times New Roman"/>
          <w:bCs/>
          <w:sz w:val="24"/>
          <w:szCs w:val="24"/>
        </w:rPr>
        <w:t xml:space="preserve"> sadrži: </w:t>
      </w:r>
    </w:p>
    <w:p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izvještaj po programskoj klasifikaciji</w:t>
      </w:r>
    </w:p>
    <w:p>
      <w:pPr>
        <w:pStyle w:val="Odlomakpopisa"/>
        <w:spacing w:after="0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Obrazloženje </w:t>
      </w:r>
      <w:r>
        <w:rPr>
          <w:rFonts w:ascii="Times New Roman" w:hAnsi="Times New Roman" w:cs="Times New Roman"/>
          <w:bCs/>
          <w:sz w:val="24"/>
          <w:szCs w:val="24"/>
        </w:rPr>
        <w:t xml:space="preserve">se sastoji od:</w:t>
      </w:r>
    </w:p>
    <w:p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obrazloženje općeg dijela izvještaja o izvršenju financijskog plana</w:t>
      </w:r>
    </w:p>
    <w:p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obrazloženje posebnog dijela izvještaja o izvršenju financijskog plana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Posebni izvještaji</w:t>
      </w:r>
      <w:r>
        <w:rPr>
          <w:rFonts w:ascii="Times New Roman" w:hAnsi="Times New Roman" w:cs="Times New Roman"/>
          <w:bCs/>
          <w:sz w:val="24"/>
          <w:szCs w:val="24"/>
        </w:rPr>
        <w:t xml:space="preserve"> su</w:t>
      </w:r>
    </w:p>
    <w:p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izvještaj o zaduživanju na domaćem i s</w:t>
      </w:r>
      <w:r>
        <w:rPr>
          <w:rFonts w:ascii="Times New Roman" w:hAnsi="Times New Roman" w:cs="Times New Roman"/>
          <w:bCs/>
          <w:sz w:val="24"/>
          <w:szCs w:val="24"/>
        </w:rPr>
        <w:t xml:space="preserve">tranom tržištu novca i kapitala</w:t>
      </w:r>
    </w:p>
    <w:p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izvještaj o danim jamstvima i plaćan</w:t>
      </w:r>
      <w:r>
        <w:rPr>
          <w:rFonts w:ascii="Times New Roman" w:hAnsi="Times New Roman" w:cs="Times New Roman"/>
          <w:bCs/>
          <w:sz w:val="24"/>
          <w:szCs w:val="24"/>
        </w:rPr>
        <w:t xml:space="preserve">jima po protestiranim jamstvima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Uspoređivani su svi </w:t>
      </w:r>
      <w:r>
        <w:rPr>
          <w:rFonts w:ascii="Times New Roman" w:hAnsi="Times New Roman" w:cs="Times New Roman"/>
          <w:bCs/>
          <w:sz w:val="24"/>
          <w:szCs w:val="24"/>
        </w:rPr>
        <w:t xml:space="preserve">elementi izvršenja 2025</w:t>
      </w:r>
      <w:r>
        <w:rPr>
          <w:rFonts w:ascii="Times New Roman" w:hAnsi="Times New Roman" w:cs="Times New Roman"/>
          <w:bCs/>
          <w:sz w:val="24"/>
          <w:szCs w:val="24"/>
        </w:rPr>
        <w:t xml:space="preserve">. u odnosu na </w:t>
      </w:r>
      <w:r>
        <w:rPr>
          <w:rFonts w:ascii="Times New Roman" w:hAnsi="Times New Roman" w:cs="Times New Roman"/>
          <w:bCs/>
          <w:sz w:val="24"/>
          <w:szCs w:val="24"/>
        </w:rPr>
        <w:t xml:space="preserve">polugodišnje izvršenje 2026. te plan 2026</w:t>
      </w:r>
      <w:r>
        <w:rPr>
          <w:rFonts w:ascii="Times New Roman" w:hAnsi="Times New Roman" w:cs="Times New Roman"/>
          <w:bCs/>
          <w:sz w:val="24"/>
          <w:szCs w:val="24"/>
        </w:rPr>
        <w:t xml:space="preserve">. u odnosu na </w:t>
      </w:r>
      <w:r>
        <w:rPr>
          <w:rFonts w:ascii="Times New Roman" w:hAnsi="Times New Roman" w:cs="Times New Roman"/>
          <w:bCs/>
          <w:sz w:val="24"/>
          <w:szCs w:val="24"/>
        </w:rPr>
        <w:t xml:space="preserve">polugodišnje izvršenje 2026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/>
      </w:r>
    </w:p>
    <w:p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Uvod – osnovni podaci o školi:</w:t>
      </w:r>
    </w:p>
    <w:p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Hotelijersko – turistička i ugostiteljska škola Zadar je javna ustanova koja pruža srednjoškolsko obrazovanje učenika od 1. do 4. razreda. Osnivač je Zadarska županija (Rješenje Ministarstva prosvjete i športa, Klasa: 602-03/92-01-769, </w:t>
      </w:r>
      <w:r>
        <w:rPr>
          <w:rFonts w:ascii="Times New Roman" w:hAnsi="Times New Roman" w:cs="Times New Roman"/>
          <w:sz w:val="24"/>
          <w:szCs w:val="24"/>
        </w:rPr>
        <w:t xml:space="preserve">Urbroj</w:t>
      </w:r>
      <w:r>
        <w:rPr>
          <w:rFonts w:ascii="Times New Roman" w:hAnsi="Times New Roman" w:cs="Times New Roman"/>
          <w:sz w:val="24"/>
          <w:szCs w:val="24"/>
        </w:rPr>
        <w:t xml:space="preserve">: 532-02-6/3-93-01, od 08. veljača 1993. godine). Prostor se dijeli s Ekonomskom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birotehničkom i trgovačkom školom Zadar.</w:t>
      </w:r>
    </w:p>
    <w:p>
      <w:pPr>
        <w:spacing w:after="0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Nastava se organizira u dvije smjene kroz petodnevni radni tjedan, a izvodi se prema nastavnom planu i programu koje je donijelo Ministarstvo zna</w:t>
      </w:r>
      <w:r>
        <w:rPr>
          <w:rFonts w:ascii="Times New Roman" w:hAnsi="Times New Roman" w:cs="Times New Roman"/>
          <w:sz w:val="24"/>
          <w:szCs w:val="24"/>
        </w:rPr>
        <w:t xml:space="preserve">nosti,</w:t>
      </w:r>
      <w:r>
        <w:rPr>
          <w:rFonts w:ascii="Times New Roman" w:hAnsi="Times New Roman" w:cs="Times New Roman"/>
          <w:sz w:val="24"/>
          <w:szCs w:val="24"/>
        </w:rPr>
        <w:t xml:space="preserve"> obrazovanja</w:t>
      </w:r>
      <w:r>
        <w:rPr>
          <w:rFonts w:ascii="Times New Roman" w:hAnsi="Times New Roman" w:cs="Times New Roman"/>
          <w:sz w:val="24"/>
          <w:szCs w:val="24"/>
        </w:rPr>
        <w:t xml:space="preserve"> i mladih</w:t>
      </w:r>
      <w:r>
        <w:rPr>
          <w:rFonts w:ascii="Times New Roman" w:hAnsi="Times New Roman" w:cs="Times New Roman"/>
          <w:sz w:val="24"/>
          <w:szCs w:val="24"/>
        </w:rPr>
        <w:t xml:space="preserve">, prema Godišnjem planu i programu te Školskom kurikulumu.</w:t>
      </w:r>
    </w:p>
    <w:p>
      <w:pPr>
        <w:spacing w:after="0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obrazuje učenike za zanimanja: kuhar, </w:t>
      </w:r>
      <w:r>
        <w:rPr>
          <w:rFonts w:ascii="Times New Roman" w:hAnsi="Times New Roman" w:cs="Times New Roman"/>
          <w:sz w:val="24"/>
          <w:szCs w:val="24"/>
        </w:rPr>
        <w:t xml:space="preserve">konobar, slastičar, turističko-</w:t>
      </w:r>
      <w:r>
        <w:rPr>
          <w:rFonts w:ascii="Times New Roman" w:hAnsi="Times New Roman" w:cs="Times New Roman"/>
          <w:sz w:val="24"/>
          <w:szCs w:val="24"/>
        </w:rPr>
        <w:t xml:space="preserve">hotelijers</w:t>
      </w:r>
      <w:r>
        <w:rPr>
          <w:rFonts w:ascii="Times New Roman" w:hAnsi="Times New Roman" w:cs="Times New Roman"/>
          <w:sz w:val="24"/>
          <w:szCs w:val="24"/>
        </w:rPr>
        <w:t xml:space="preserve">ki komercijalist, hotelijersko-</w:t>
      </w:r>
      <w:r>
        <w:rPr>
          <w:rFonts w:ascii="Times New Roman" w:hAnsi="Times New Roman" w:cs="Times New Roman"/>
          <w:sz w:val="24"/>
          <w:szCs w:val="24"/>
        </w:rPr>
        <w:t xml:space="preserve">turistički tehničar, pomoćni kuhar i slastičar (učenici s teškoćama u razvoju), pomoćni konobar (učenici s teškoćama u razvoju).</w:t>
      </w:r>
    </w:p>
    <w:p>
      <w:pPr>
        <w:spacing w:after="0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Obrazloženje općeg dijela izvještaja o izvršenju financijskog plana</w:t>
      </w:r>
    </w:p>
    <w:p>
      <w:pPr>
        <w:pStyle w:val="Odlomakpopisa"/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Odlomakpopisa"/>
        <w:numPr>
          <w:ilvl w:val="1"/>
          <w:numId w:val="2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Sažetak računa prihoda i rashoda i računa financiranja</w:t>
      </w:r>
    </w:p>
    <w:p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Od planiranih prihoda za 2026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godinu u iznosu od </w:t>
      </w:r>
      <w:r>
        <w:rPr>
          <w:rFonts w:ascii="Times New Roman" w:hAnsi="Times New Roman" w:cs="Times New Roman"/>
          <w:bCs/>
          <w:sz w:val="24"/>
          <w:szCs w:val="24"/>
        </w:rPr>
        <w:t xml:space="preserve">2.570.981,29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EUR, realizirani su prihodi u iznosu od </w:t>
      </w:r>
      <w:r>
        <w:rPr>
          <w:rFonts w:ascii="Times New Roman" w:hAnsi="Times New Roman" w:cs="Times New Roman"/>
          <w:bCs/>
          <w:sz w:val="24"/>
          <w:szCs w:val="24"/>
        </w:rPr>
        <w:t xml:space="preserve">1.258.240,50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EUR što iznosi </w:t>
      </w:r>
      <w:r>
        <w:rPr>
          <w:rFonts w:ascii="Times New Roman" w:hAnsi="Times New Roman" w:cs="Times New Roman"/>
          <w:bCs/>
          <w:sz w:val="24"/>
          <w:szCs w:val="24"/>
        </w:rPr>
        <w:t xml:space="preserve">48,94</w:t>
      </w:r>
      <w:r>
        <w:rPr>
          <w:rFonts w:ascii="Times New Roman" w:hAnsi="Times New Roman" w:cs="Times New Roman"/>
          <w:bCs/>
          <w:sz w:val="24"/>
          <w:szCs w:val="24"/>
        </w:rPr>
        <w:t xml:space="preserve"> %.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 odnosu na</w:t>
      </w:r>
      <w:r>
        <w:rPr>
          <w:rFonts w:ascii="Times New Roman" w:hAnsi="Times New Roman" w:cs="Times New Roman"/>
          <w:bCs/>
          <w:sz w:val="24"/>
          <w:szCs w:val="24"/>
        </w:rPr>
        <w:t xml:space="preserve"> 2025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godinu </w:t>
      </w:r>
      <w:r>
        <w:rPr>
          <w:rFonts w:ascii="Times New Roman" w:hAnsi="Times New Roman" w:cs="Times New Roman"/>
          <w:bCs/>
          <w:sz w:val="24"/>
          <w:szCs w:val="24"/>
        </w:rPr>
        <w:t xml:space="preserve">prihodi su se povećali za 8,05%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Od u</w:t>
      </w:r>
      <w:r>
        <w:rPr>
          <w:rFonts w:ascii="Times New Roman" w:hAnsi="Times New Roman" w:cs="Times New Roman"/>
          <w:bCs/>
          <w:sz w:val="24"/>
          <w:szCs w:val="24"/>
        </w:rPr>
        <w:t xml:space="preserve">kupno planiranih rashoda za 2026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godinu u iznosu od </w:t>
      </w:r>
      <w:r>
        <w:rPr>
          <w:rFonts w:ascii="Times New Roman" w:hAnsi="Times New Roman" w:cs="Times New Roman"/>
          <w:bCs/>
          <w:sz w:val="24"/>
          <w:szCs w:val="24"/>
        </w:rPr>
        <w:t xml:space="preserve">2.595.981,29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EUR realizirani su rashodi u iznosu od </w:t>
      </w:r>
      <w:r>
        <w:rPr>
          <w:rFonts w:ascii="Times New Roman" w:hAnsi="Times New Roman" w:cs="Times New Roman"/>
          <w:bCs/>
          <w:sz w:val="24"/>
          <w:szCs w:val="24"/>
        </w:rPr>
        <w:t xml:space="preserve">1.273.092,90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EUR što iznosi </w:t>
      </w:r>
      <w:r>
        <w:rPr>
          <w:rFonts w:ascii="Times New Roman" w:hAnsi="Times New Roman" w:cs="Times New Roman"/>
          <w:bCs/>
          <w:sz w:val="24"/>
          <w:szCs w:val="24"/>
        </w:rPr>
        <w:t xml:space="preserve">49,04</w:t>
      </w:r>
      <w:r>
        <w:rPr>
          <w:rFonts w:ascii="Times New Roman" w:hAnsi="Times New Roman" w:cs="Times New Roman"/>
          <w:bCs/>
          <w:sz w:val="24"/>
          <w:szCs w:val="24"/>
        </w:rPr>
        <w:t xml:space="preserve"> %.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 odnosu na 2025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godinu </w:t>
      </w:r>
      <w:r>
        <w:rPr>
          <w:rFonts w:ascii="Times New Roman" w:hAnsi="Times New Roman" w:cs="Times New Roman"/>
          <w:bCs/>
          <w:sz w:val="24"/>
          <w:szCs w:val="24"/>
        </w:rPr>
        <w:t xml:space="preserve">rashodi su se smanjili za 4,26 %.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Višak</w:t>
      </w:r>
      <w:r>
        <w:rPr>
          <w:rFonts w:ascii="Times New Roman" w:hAnsi="Times New Roman" w:cs="Times New Roman"/>
          <w:bCs/>
          <w:sz w:val="24"/>
          <w:szCs w:val="24"/>
        </w:rPr>
        <w:t xml:space="preserve"> prihoda i primitaka</w:t>
      </w:r>
      <w:r>
        <w:rPr>
          <w:rFonts w:ascii="Times New Roman" w:hAnsi="Times New Roman" w:cs="Times New Roman"/>
          <w:bCs/>
          <w:sz w:val="24"/>
          <w:szCs w:val="24"/>
        </w:rPr>
        <w:t xml:space="preserve"> za pokriće </w:t>
      </w:r>
      <w:r>
        <w:rPr>
          <w:rFonts w:ascii="Times New Roman" w:hAnsi="Times New Roman" w:cs="Times New Roman"/>
          <w:bCs/>
          <w:sz w:val="24"/>
          <w:szCs w:val="24"/>
        </w:rPr>
        <w:t xml:space="preserve">rashoda u sljedećem rashodu iznosu </w:t>
      </w:r>
      <w:r>
        <w:rPr>
          <w:rFonts w:ascii="Times New Roman" w:hAnsi="Times New Roman" w:cs="Times New Roman"/>
          <w:bCs/>
          <w:sz w:val="24"/>
          <w:szCs w:val="24"/>
        </w:rPr>
        <w:t xml:space="preserve">41.060,35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EUR.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pStyle w:val="Odlomakpopisa"/>
        <w:numPr>
          <w:ilvl w:val="1"/>
          <w:numId w:val="2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Račun prihoda i rashoda prema ekonomskoj klasifikaciji</w:t>
      </w:r>
    </w:p>
    <w:p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Odlomakpopisa"/>
        <w:numPr>
          <w:ilvl w:val="2"/>
          <w:numId w:val="25"/>
        </w:num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Prihodi</w:t>
      </w:r>
    </w:p>
    <w:p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Ukupni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prihodi</w:t>
      </w:r>
      <w:r>
        <w:rPr>
          <w:rFonts w:ascii="Times New Roman" w:hAnsi="Times New Roman" w:cs="Times New Roman"/>
          <w:bCs/>
          <w:sz w:val="24"/>
          <w:szCs w:val="24"/>
        </w:rPr>
        <w:t xml:space="preserve"> u 2026. godini iznose 1.258.240,50 EUR i najveći dio prihoda poslovanja odnosi se na prihode od Ministarstva znanosti, obrazovanja i mladih.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Prihodi su ostvareni po skupinama kako slijedi: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pomoći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iz inozemstva i od subjekata općeg proračuna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ostvareno je </w:t>
      </w:r>
      <w:r>
        <w:rPr>
          <w:rFonts w:ascii="Times New Roman" w:hAnsi="Times New Roman" w:cs="Times New Roman"/>
          <w:bCs/>
          <w:sz w:val="24"/>
          <w:szCs w:val="24"/>
        </w:rPr>
        <w:t xml:space="preserve">48,34</w:t>
      </w:r>
      <w:r>
        <w:rPr>
          <w:rFonts w:ascii="Times New Roman" w:hAnsi="Times New Roman" w:cs="Times New Roman"/>
          <w:bCs/>
          <w:sz w:val="24"/>
          <w:szCs w:val="24"/>
        </w:rPr>
        <w:t xml:space="preserve"> % </w:t>
      </w:r>
      <w:r>
        <w:rPr>
          <w:rFonts w:ascii="Times New Roman" w:hAnsi="Times New Roman" w:cs="Times New Roman"/>
          <w:bCs/>
          <w:sz w:val="24"/>
          <w:szCs w:val="24"/>
        </w:rPr>
        <w:t xml:space="preserve">u </w:t>
      </w:r>
      <w:r>
        <w:rPr>
          <w:rFonts w:ascii="Times New Roman" w:hAnsi="Times New Roman" w:cs="Times New Roman"/>
          <w:bCs/>
          <w:sz w:val="24"/>
          <w:szCs w:val="24"/>
        </w:rPr>
        <w:t xml:space="preserve">odnosu na planirano. Tu spadaju sredstva Državnog proračuna za isplatu plaća i materijalnih prava za zaposlenike u iznosu od </w:t>
      </w:r>
      <w:r>
        <w:rPr>
          <w:rFonts w:ascii="Times New Roman" w:hAnsi="Times New Roman" w:cs="Times New Roman"/>
          <w:bCs/>
          <w:sz w:val="24"/>
          <w:szCs w:val="24"/>
        </w:rPr>
        <w:t xml:space="preserve">1.094.386,11 </w:t>
      </w:r>
      <w:r>
        <w:rPr>
          <w:rFonts w:ascii="Times New Roman" w:hAnsi="Times New Roman" w:cs="Times New Roman"/>
          <w:bCs/>
          <w:sz w:val="24"/>
          <w:szCs w:val="24"/>
        </w:rPr>
        <w:t xml:space="preserve">EUR, </w:t>
      </w:r>
      <w:r>
        <w:rPr>
          <w:rFonts w:ascii="Times New Roman" w:hAnsi="Times New Roman" w:cs="Times New Roman"/>
          <w:bCs/>
          <w:sz w:val="24"/>
          <w:szCs w:val="24"/>
        </w:rPr>
        <w:t xml:space="preserve">troškovi za voditelja županijsko</w:t>
      </w:r>
      <w:r>
        <w:rPr>
          <w:rFonts w:ascii="Times New Roman" w:hAnsi="Times New Roman" w:cs="Times New Roman"/>
          <w:bCs/>
          <w:sz w:val="24"/>
          <w:szCs w:val="24"/>
        </w:rPr>
        <w:t xml:space="preserve"> stručno</w:t>
      </w:r>
      <w:r>
        <w:rPr>
          <w:rFonts w:ascii="Times New Roman" w:hAnsi="Times New Roman" w:cs="Times New Roman"/>
          <w:bCs/>
          <w:sz w:val="24"/>
          <w:szCs w:val="24"/>
        </w:rPr>
        <w:t xml:space="preserve">g vijeća</w:t>
      </w:r>
      <w:r>
        <w:rPr>
          <w:rFonts w:ascii="Times New Roman" w:hAnsi="Times New Roman" w:cs="Times New Roman"/>
          <w:bCs/>
          <w:sz w:val="24"/>
          <w:szCs w:val="24"/>
        </w:rPr>
        <w:t xml:space="preserve"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menstrualne higijenske potrepštine te </w:t>
      </w:r>
      <w:r>
        <w:rPr>
          <w:rFonts w:ascii="Times New Roman" w:hAnsi="Times New Roman" w:cs="Times New Roman"/>
          <w:bCs/>
          <w:sz w:val="24"/>
          <w:szCs w:val="24"/>
        </w:rPr>
        <w:t xml:space="preserve">refundacija troškova za sudjelovanje na </w:t>
      </w:r>
      <w:r>
        <w:rPr>
          <w:rFonts w:ascii="Times New Roman" w:hAnsi="Times New Roman" w:cs="Times New Roman"/>
          <w:bCs/>
          <w:sz w:val="24"/>
          <w:szCs w:val="24"/>
        </w:rPr>
        <w:t xml:space="preserve">WorldSkills</w:t>
      </w:r>
      <w:r>
        <w:rPr>
          <w:rFonts w:ascii="Times New Roman" w:hAnsi="Times New Roman" w:cs="Times New Roman"/>
          <w:bCs/>
          <w:sz w:val="24"/>
          <w:szCs w:val="24"/>
        </w:rPr>
        <w:t xml:space="preserve"> natjecanju u ukupnom iznosu od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2.465</w:t>
      </w:r>
      <w:r>
        <w:rPr>
          <w:rFonts w:ascii="Times New Roman" w:hAnsi="Times New Roman" w:cs="Times New Roman"/>
          <w:bCs/>
          <w:sz w:val="24"/>
          <w:szCs w:val="24"/>
        </w:rPr>
        <w:t xml:space="preserve">,00 </w:t>
      </w:r>
      <w:r>
        <w:rPr>
          <w:rFonts w:ascii="Times New Roman" w:hAnsi="Times New Roman" w:cs="Times New Roman"/>
          <w:bCs/>
          <w:sz w:val="24"/>
          <w:szCs w:val="24"/>
        </w:rPr>
        <w:t xml:space="preserve">EUR te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prijevoz učenika s </w:t>
      </w:r>
      <w:r>
        <w:rPr>
          <w:rFonts w:ascii="Times New Roman" w:hAnsi="Times New Roman" w:cs="Times New Roman"/>
          <w:sz w:val="24"/>
          <w:szCs w:val="24"/>
        </w:rPr>
        <w:t xml:space="preserve">poteškoćama u razvoju </w:t>
      </w:r>
      <w:r>
        <w:rPr>
          <w:rFonts w:ascii="Times New Roman" w:hAnsi="Times New Roman" w:cs="Times New Roman"/>
          <w:bCs/>
          <w:sz w:val="24"/>
          <w:szCs w:val="24"/>
        </w:rPr>
        <w:t xml:space="preserve">u iznosu od </w:t>
      </w:r>
      <w:r>
        <w:rPr>
          <w:rFonts w:ascii="Times New Roman" w:hAnsi="Times New Roman" w:cs="Times New Roman"/>
          <w:bCs/>
          <w:sz w:val="24"/>
          <w:szCs w:val="24"/>
        </w:rPr>
        <w:t xml:space="preserve">20.363,30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EUR.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Rast </w:t>
      </w:r>
      <w:r>
        <w:rPr>
          <w:rFonts w:ascii="Times New Roman" w:hAnsi="Times New Roman" w:cs="Times New Roman"/>
          <w:sz w:val="24"/>
          <w:szCs w:val="24"/>
        </w:rPr>
        <w:t xml:space="preserve">u odnosu na prošlu godinu u iznosu od </w:t>
      </w:r>
      <w:r>
        <w:rPr>
          <w:rFonts w:ascii="Times New Roman" w:hAnsi="Times New Roman" w:cs="Times New Roman"/>
          <w:sz w:val="24"/>
          <w:szCs w:val="24"/>
        </w:rPr>
        <w:t xml:space="preserve">9,22</w:t>
      </w:r>
      <w:r>
        <w:rPr>
          <w:rFonts w:ascii="Times New Roman" w:hAnsi="Times New Roman" w:cs="Times New Roman"/>
          <w:sz w:val="24"/>
          <w:szCs w:val="24"/>
        </w:rPr>
        <w:t xml:space="preserve"> % dogodio se </w:t>
      </w:r>
      <w:r>
        <w:rPr>
          <w:rFonts w:ascii="Times New Roman" w:hAnsi="Times New Roman" w:cs="Times New Roman"/>
          <w:sz w:val="24"/>
          <w:szCs w:val="24"/>
        </w:rPr>
        <w:t xml:space="preserve">zbog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rasta bruto osnovice za obračun plaće u 2026. godini te ostalih prihoda koji se financiranju iz sredstava MZOM-a.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65 –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prihodi od upravnih i administrativnih pristojbi, pristojbi po posebnim propisima i naknada</w:t>
      </w:r>
      <w:r>
        <w:rPr>
          <w:rFonts w:ascii="Times New Roman" w:hAnsi="Times New Roman" w:cs="Times New Roman"/>
          <w:sz w:val="24"/>
          <w:szCs w:val="24"/>
        </w:rPr>
        <w:t xml:space="preserve"> – indeks izvršenja u odnosu na prošlu je </w:t>
      </w:r>
      <w:r>
        <w:rPr>
          <w:rFonts w:ascii="Times New Roman" w:hAnsi="Times New Roman" w:cs="Times New Roman"/>
          <w:sz w:val="24"/>
          <w:szCs w:val="24"/>
        </w:rPr>
        <w:t xml:space="preserve">veći</w:t>
      </w:r>
      <w:r>
        <w:rPr>
          <w:rFonts w:ascii="Times New Roman" w:hAnsi="Times New Roman" w:cs="Times New Roman"/>
          <w:sz w:val="24"/>
          <w:szCs w:val="24"/>
        </w:rPr>
        <w:t xml:space="preserve"> jer se </w:t>
      </w:r>
      <w:r>
        <w:rPr>
          <w:rFonts w:ascii="Times New Roman" w:hAnsi="Times New Roman" w:cs="Times New Roman"/>
          <w:sz w:val="24"/>
          <w:szCs w:val="24"/>
        </w:rPr>
        <w:t xml:space="preserve">povećao</w:t>
      </w:r>
      <w:r>
        <w:rPr>
          <w:rFonts w:ascii="Times New Roman" w:hAnsi="Times New Roman" w:cs="Times New Roman"/>
          <w:sz w:val="24"/>
          <w:szCs w:val="24"/>
        </w:rPr>
        <w:t xml:space="preserve"> prihod od izdavanja duplikata svjedodžbi. </w:t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66 – prihodi od prodaje proizvoda i robe te pruženih usluga i prihodi od donacija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ukupno ostvareni prihodi su </w:t>
      </w:r>
      <w:r>
        <w:rPr>
          <w:rFonts w:ascii="Times New Roman" w:hAnsi="Times New Roman" w:cs="Times New Roman"/>
          <w:bCs/>
          <w:sz w:val="24"/>
          <w:szCs w:val="24"/>
        </w:rPr>
        <w:t xml:space="preserve">manji</w:t>
      </w:r>
      <w:r>
        <w:rPr>
          <w:rFonts w:ascii="Times New Roman" w:hAnsi="Times New Roman" w:cs="Times New Roman"/>
          <w:bCs/>
          <w:sz w:val="24"/>
          <w:szCs w:val="24"/>
        </w:rPr>
        <w:t xml:space="preserve"> u odnosu na prošlu godinu jer je došlo do </w:t>
      </w:r>
      <w:r>
        <w:rPr>
          <w:rFonts w:ascii="Times New Roman" w:hAnsi="Times New Roman" w:cs="Times New Roman"/>
          <w:bCs/>
          <w:sz w:val="24"/>
          <w:szCs w:val="24"/>
        </w:rPr>
        <w:t xml:space="preserve">smanjenja</w:t>
      </w:r>
      <w:r>
        <w:rPr>
          <w:rFonts w:ascii="Times New Roman" w:hAnsi="Times New Roman" w:cs="Times New Roman"/>
          <w:bCs/>
          <w:sz w:val="24"/>
          <w:szCs w:val="24"/>
        </w:rPr>
        <w:t xml:space="preserve"> prihoda od najmova </w:t>
      </w:r>
      <w:r>
        <w:rPr>
          <w:rFonts w:ascii="Times New Roman" w:hAnsi="Times New Roman" w:cs="Times New Roman"/>
          <w:sz w:val="24"/>
          <w:szCs w:val="24"/>
        </w:rPr>
        <w:t xml:space="preserve">školskog prostora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smanjenja</w:t>
      </w:r>
      <w:r>
        <w:rPr>
          <w:rFonts w:ascii="Times New Roman" w:hAnsi="Times New Roman" w:cs="Times New Roman"/>
          <w:sz w:val="24"/>
          <w:szCs w:val="24"/>
        </w:rPr>
        <w:t xml:space="preserve"> aktivnosti usluge pripreme hrane za </w:t>
      </w:r>
      <w:r>
        <w:rPr>
          <w:rFonts w:ascii="Times New Roman" w:hAnsi="Times New Roman" w:cs="Times New Roman"/>
          <w:sz w:val="24"/>
          <w:szCs w:val="24"/>
        </w:rPr>
        <w:t xml:space="preserve">razne manifestacije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67 – prihodi iz nadležnog proračuna i od HZZO-a temeljem ugovornih obveza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i</w:t>
      </w:r>
      <w:r>
        <w:rPr>
          <w:rFonts w:ascii="Times New Roman" w:hAnsi="Times New Roman" w:cs="Times New Roman"/>
          <w:bCs/>
          <w:sz w:val="24"/>
          <w:szCs w:val="24"/>
        </w:rPr>
        <w:t xml:space="preserve">ndeks izvršenja u odnosu na 2025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godinu iznosi </w:t>
      </w:r>
      <w:r>
        <w:rPr>
          <w:rFonts w:ascii="Times New Roman" w:hAnsi="Times New Roman" w:cs="Times New Roman"/>
          <w:bCs/>
          <w:sz w:val="24"/>
          <w:szCs w:val="24"/>
        </w:rPr>
        <w:t xml:space="preserve">102,45</w:t>
      </w:r>
      <w:r>
        <w:rPr>
          <w:rFonts w:ascii="Times New Roman" w:hAnsi="Times New Roman" w:cs="Times New Roman"/>
          <w:bCs/>
          <w:sz w:val="24"/>
          <w:szCs w:val="24"/>
        </w:rPr>
        <w:t xml:space="preserve"> %. </w:t>
      </w:r>
      <w:r>
        <w:rPr>
          <w:rFonts w:ascii="Times New Roman" w:hAnsi="Times New Roman" w:cs="Times New Roman"/>
          <w:bCs/>
          <w:sz w:val="24"/>
          <w:szCs w:val="24"/>
        </w:rPr>
        <w:t xml:space="preserve">Došlo je do povećanja u odnosu na prošlu godinu jer se cijela plaća pomoćnika u nastavi finan</w:t>
      </w:r>
      <w:r>
        <w:rPr>
          <w:rFonts w:ascii="Times New Roman" w:hAnsi="Times New Roman" w:cs="Times New Roman"/>
          <w:bCs/>
          <w:sz w:val="24"/>
          <w:szCs w:val="24"/>
        </w:rPr>
        <w:t xml:space="preserve">cirala iz županijskih sredstava.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pStyle w:val="Odlomakpopisa"/>
        <w:numPr>
          <w:ilvl w:val="2"/>
          <w:numId w:val="25"/>
        </w:num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Rashodi</w:t>
      </w:r>
    </w:p>
    <w:p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Ukupni rashodi</w:t>
      </w:r>
      <w:r>
        <w:rPr>
          <w:rFonts w:ascii="Times New Roman" w:hAnsi="Times New Roman" w:cs="Times New Roman"/>
          <w:bCs/>
          <w:sz w:val="24"/>
          <w:szCs w:val="24"/>
        </w:rPr>
        <w:t xml:space="preserve"> Hotelijersko – turističke i ugostiteljske škole Zadar za prvu polovicu 2026. godine izvršeni su u iznosu od </w:t>
      </w:r>
      <w:r>
        <w:rPr>
          <w:rFonts w:ascii="Times New Roman" w:hAnsi="Times New Roman" w:cs="Times New Roman"/>
          <w:bCs/>
          <w:sz w:val="24"/>
          <w:szCs w:val="24"/>
        </w:rPr>
        <w:t xml:space="preserve">1.273.092,90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EUR, odnosno </w:t>
      </w:r>
      <w:r>
        <w:rPr>
          <w:rFonts w:ascii="Times New Roman" w:hAnsi="Times New Roman" w:cs="Times New Roman"/>
          <w:bCs/>
          <w:sz w:val="24"/>
          <w:szCs w:val="24"/>
        </w:rPr>
        <w:t xml:space="preserve">49,04</w:t>
      </w:r>
      <w:r>
        <w:rPr>
          <w:rFonts w:ascii="Times New Roman" w:hAnsi="Times New Roman" w:cs="Times New Roman"/>
          <w:bCs/>
          <w:sz w:val="24"/>
          <w:szCs w:val="24"/>
        </w:rPr>
        <w:t xml:space="preserve"> % godišnjeg plana i manji su u odnosu na prošlu godinu za </w:t>
      </w:r>
      <w:r>
        <w:rPr>
          <w:rFonts w:ascii="Times New Roman" w:hAnsi="Times New Roman" w:cs="Times New Roman"/>
          <w:bCs/>
          <w:sz w:val="24"/>
          <w:szCs w:val="24"/>
        </w:rPr>
        <w:t xml:space="preserve">4,26</w:t>
      </w:r>
      <w:r>
        <w:rPr>
          <w:rFonts w:ascii="Times New Roman" w:hAnsi="Times New Roman" w:cs="Times New Roman"/>
          <w:bCs/>
          <w:sz w:val="24"/>
          <w:szCs w:val="24"/>
        </w:rPr>
        <w:t xml:space="preserve"> %.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Rashodi su iskazani po ekonomskoj i funkcijskoj klasifikaciji te po izvorima financiranja u općem dijelu financijskog plana, dok su u posebnom dijelu financij</w:t>
      </w:r>
      <w:r>
        <w:rPr>
          <w:rFonts w:ascii="Times New Roman" w:hAnsi="Times New Roman" w:cs="Times New Roman"/>
          <w:bCs/>
          <w:sz w:val="24"/>
          <w:szCs w:val="24"/>
        </w:rPr>
        <w:t xml:space="preserve">skog plana iskazani po programskoj i organizacijskog klasifikaciji.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Rashodi poslovanja </w:t>
      </w:r>
      <w:r>
        <w:rPr>
          <w:rFonts w:ascii="Times New Roman" w:hAnsi="Times New Roman" w:cs="Times New Roman"/>
          <w:bCs/>
          <w:sz w:val="24"/>
          <w:szCs w:val="24"/>
        </w:rPr>
        <w:t xml:space="preserve">izvršeni su u iznosu od </w:t>
      </w:r>
      <w:r>
        <w:rPr>
          <w:rFonts w:ascii="Times New Roman" w:hAnsi="Times New Roman" w:cs="Times New Roman"/>
          <w:bCs/>
          <w:sz w:val="24"/>
          <w:szCs w:val="24"/>
        </w:rPr>
        <w:t xml:space="preserve">1.256.674,15</w:t>
      </w:r>
      <w:r>
        <w:rPr>
          <w:rFonts w:ascii="Times New Roman" w:hAnsi="Times New Roman" w:cs="Times New Roman"/>
          <w:bCs/>
          <w:sz w:val="24"/>
          <w:szCs w:val="24"/>
        </w:rPr>
        <w:t xml:space="preserve"> EUR, dok su rashodi za nabavu nefinancijske imovine izvršeni u iznosu od </w:t>
      </w:r>
      <w:r>
        <w:rPr>
          <w:rFonts w:ascii="Times New Roman" w:hAnsi="Times New Roman" w:cs="Times New Roman"/>
          <w:bCs/>
          <w:sz w:val="24"/>
          <w:szCs w:val="24"/>
        </w:rPr>
        <w:t xml:space="preserve">16.418,75</w:t>
      </w:r>
      <w:r>
        <w:rPr>
          <w:rFonts w:ascii="Times New Roman" w:hAnsi="Times New Roman" w:cs="Times New Roman"/>
          <w:bCs/>
          <w:sz w:val="24"/>
          <w:szCs w:val="24"/>
        </w:rPr>
        <w:t xml:space="preserve"> EUR.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31 – rashodi za zaposlene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ostvareno je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48,46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% u odnosu na planirano</w:t>
      </w:r>
      <w:r>
        <w:rPr>
          <w:rFonts w:ascii="Times New Roman" w:hAnsi="Times New Roman" w:cs="Times New Roman"/>
          <w:bCs/>
          <w:sz w:val="24"/>
          <w:szCs w:val="24"/>
        </w:rPr>
        <w:t xml:space="preserve"> te </w:t>
      </w:r>
      <w:r>
        <w:rPr>
          <w:rFonts w:ascii="Times New Roman" w:hAnsi="Times New Roman" w:cs="Times New Roman"/>
          <w:bCs/>
          <w:sz w:val="24"/>
          <w:szCs w:val="24"/>
        </w:rPr>
        <w:t xml:space="preserve">94,67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% u odnosu na 2025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godinu. Do </w:t>
      </w:r>
      <w:r>
        <w:rPr>
          <w:rFonts w:ascii="Times New Roman" w:hAnsi="Times New Roman" w:cs="Times New Roman"/>
          <w:bCs/>
          <w:sz w:val="24"/>
          <w:szCs w:val="24"/>
        </w:rPr>
        <w:t xml:space="preserve">smanjenja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je</w:t>
      </w:r>
      <w:r>
        <w:rPr>
          <w:rFonts w:ascii="Times New Roman" w:hAnsi="Times New Roman" w:cs="Times New Roman"/>
          <w:bCs/>
          <w:sz w:val="24"/>
          <w:szCs w:val="24"/>
        </w:rPr>
        <w:t xml:space="preserve"> došlo zbog ukidanja kontinuiranih troškova</w:t>
      </w:r>
      <w:r>
        <w:rPr>
          <w:rFonts w:ascii="Times New Roman" w:hAnsi="Times New Roman" w:cs="Times New Roman"/>
          <w:bCs/>
          <w:sz w:val="24"/>
          <w:szCs w:val="24"/>
        </w:rPr>
        <w:t xml:space="preserve"> 1. 1. 2025. godine</w:t>
      </w:r>
      <w:r>
        <w:rPr>
          <w:rFonts w:ascii="Times New Roman" w:hAnsi="Times New Roman" w:cs="Times New Roman"/>
          <w:bCs/>
          <w:sz w:val="24"/>
          <w:szCs w:val="24"/>
        </w:rPr>
        <w:t xml:space="preserve">, zbog čega su </w:t>
      </w:r>
      <w:r>
        <w:rPr>
          <w:rFonts w:ascii="Times New Roman" w:hAnsi="Times New Roman" w:cs="Times New Roman"/>
          <w:bCs/>
          <w:sz w:val="24"/>
          <w:szCs w:val="24"/>
        </w:rPr>
        <w:t xml:space="preserve">plaće i materijalna prava za prosinac 2024. godine knjiženi na rashode u siječnju 2025. godine, dok su </w:t>
      </w:r>
      <w:r>
        <w:rPr>
          <w:rFonts w:ascii="Times New Roman" w:hAnsi="Times New Roman" w:cs="Times New Roman"/>
          <w:bCs/>
          <w:sz w:val="24"/>
          <w:szCs w:val="24"/>
        </w:rPr>
        <w:t xml:space="preserve">plaće i materijalna prava za mjesec prosin</w:t>
      </w:r>
      <w:r>
        <w:rPr>
          <w:rFonts w:ascii="Times New Roman" w:hAnsi="Times New Roman" w:cs="Times New Roman"/>
          <w:bCs/>
          <w:sz w:val="24"/>
          <w:szCs w:val="24"/>
        </w:rPr>
        <w:t xml:space="preserve">ac 2025. godine izravno knjiženi na rashode.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32 – materijalni rashodi</w:t>
      </w:r>
      <w:r>
        <w:rPr>
          <w:rFonts w:ascii="Times New Roman" w:hAnsi="Times New Roman" w:cs="Times New Roman"/>
          <w:sz w:val="24"/>
          <w:szCs w:val="24"/>
        </w:rPr>
        <w:t xml:space="preserve"> – ostvareno je </w:t>
      </w:r>
      <w:r>
        <w:rPr>
          <w:rFonts w:ascii="Times New Roman" w:hAnsi="Times New Roman" w:cs="Times New Roman"/>
          <w:sz w:val="24"/>
          <w:szCs w:val="24"/>
        </w:rPr>
        <w:t xml:space="preserve">95,86 % u odnosu na 2025</w:t>
      </w:r>
      <w:r>
        <w:rPr>
          <w:rFonts w:ascii="Times New Roman" w:hAnsi="Times New Roman" w:cs="Times New Roman"/>
          <w:sz w:val="24"/>
          <w:szCs w:val="24"/>
        </w:rPr>
        <w:t xml:space="preserve">. godinu. Došlo je do </w:t>
      </w:r>
      <w:r>
        <w:rPr>
          <w:rFonts w:ascii="Times New Roman" w:hAnsi="Times New Roman" w:cs="Times New Roman"/>
          <w:sz w:val="24"/>
          <w:szCs w:val="24"/>
        </w:rPr>
        <w:t xml:space="preserve">smanjenja</w:t>
      </w:r>
      <w:r>
        <w:rPr>
          <w:rFonts w:ascii="Times New Roman" w:hAnsi="Times New Roman" w:cs="Times New Roman"/>
          <w:sz w:val="24"/>
          <w:szCs w:val="24"/>
        </w:rPr>
        <w:t xml:space="preserve"> rashoda jer</w:t>
      </w:r>
      <w:r>
        <w:rPr>
          <w:rFonts w:ascii="Times New Roman" w:hAnsi="Times New Roman" w:cs="Times New Roman"/>
          <w:sz w:val="24"/>
          <w:szCs w:val="24"/>
        </w:rPr>
        <w:t xml:space="preserve"> su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smanjili </w:t>
      </w:r>
      <w:r>
        <w:rPr>
          <w:rFonts w:ascii="Times New Roman" w:hAnsi="Times New Roman" w:cs="Times New Roman"/>
          <w:sz w:val="24"/>
          <w:szCs w:val="24"/>
        </w:rPr>
        <w:t xml:space="preserve">rashod</w:t>
      </w:r>
      <w:r>
        <w:rPr>
          <w:rFonts w:ascii="Times New Roman" w:hAnsi="Times New Roman" w:cs="Times New Roman"/>
          <w:sz w:val="24"/>
          <w:szCs w:val="24"/>
        </w:rPr>
        <w:t xml:space="preserve">i</w:t>
      </w:r>
      <w:r>
        <w:rPr>
          <w:rFonts w:ascii="Times New Roman" w:hAnsi="Times New Roman" w:cs="Times New Roman"/>
          <w:sz w:val="24"/>
          <w:szCs w:val="24"/>
        </w:rPr>
        <w:t xml:space="preserve"> za materijal koj</w:t>
      </w:r>
      <w:r>
        <w:rPr>
          <w:rFonts w:ascii="Times New Roman" w:hAnsi="Times New Roman" w:cs="Times New Roman"/>
          <w:sz w:val="24"/>
          <w:szCs w:val="24"/>
        </w:rPr>
        <w:t xml:space="preserve">i se koristi u nastavi, uredski materijal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sredstva za osobnu higijenu i sredstva</w:t>
      </w:r>
      <w:r>
        <w:rPr>
          <w:rFonts w:ascii="Times New Roman" w:hAnsi="Times New Roman" w:cs="Times New Roman"/>
          <w:sz w:val="24"/>
          <w:szCs w:val="24"/>
        </w:rPr>
        <w:t xml:space="preserve"> za čišćenje</w:t>
      </w:r>
      <w:r>
        <w:rPr>
          <w:rFonts w:ascii="Times New Roman" w:hAnsi="Times New Roman" w:cs="Times New Roman"/>
          <w:sz w:val="24"/>
          <w:szCs w:val="24"/>
        </w:rPr>
        <w:t xml:space="preserve">. Pala je</w:t>
      </w:r>
      <w:r>
        <w:rPr>
          <w:rFonts w:ascii="Times New Roman" w:hAnsi="Times New Roman" w:cs="Times New Roman"/>
          <w:sz w:val="24"/>
          <w:szCs w:val="24"/>
        </w:rPr>
        <w:t xml:space="preserve"> potrošnja loživog ulja za grijanje</w:t>
      </w:r>
      <w:r>
        <w:rPr>
          <w:rFonts w:ascii="Times New Roman" w:hAnsi="Times New Roman" w:cs="Times New Roman"/>
          <w:sz w:val="24"/>
          <w:szCs w:val="24"/>
        </w:rPr>
        <w:t xml:space="preserve"> te škola u ovoj godini nije plaćala sudske pristojbe </w:t>
      </w:r>
      <w:r>
        <w:rPr>
          <w:rFonts w:ascii="Times New Roman" w:hAnsi="Times New Roman" w:cs="Times New Roman"/>
          <w:bCs/>
          <w:sz w:val="24"/>
          <w:szCs w:val="24"/>
        </w:rPr>
        <w:t xml:space="preserve">u odnosu na godinu ranije koje se odnose na tužbe kojom su zaposlenici tužili školu zbog neisplaćenog dijela osnovice za izračun plaće u iznosu od 6 %.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Povećala se potrošnja </w:t>
      </w:r>
      <w:r>
        <w:rPr>
          <w:rFonts w:ascii="Times New Roman" w:hAnsi="Times New Roman" w:cs="Times New Roman"/>
          <w:sz w:val="24"/>
          <w:szCs w:val="24"/>
        </w:rPr>
        <w:t xml:space="preserve">materijala za potrebe tekućeg održavanja unutar prostora škole. </w:t>
      </w:r>
      <w:r>
        <w:rPr>
          <w:rFonts w:ascii="Times New Roman" w:hAnsi="Times New Roman" w:cs="Times New Roman"/>
          <w:bCs/>
          <w:sz w:val="24"/>
          <w:szCs w:val="24"/>
        </w:rPr>
        <w:t xml:space="preserve">Povećali </w:t>
      </w:r>
      <w:r>
        <w:rPr>
          <w:rFonts w:ascii="Times New Roman" w:hAnsi="Times New Roman" w:cs="Times New Roman"/>
          <w:bCs/>
          <w:sz w:val="24"/>
          <w:szCs w:val="24"/>
        </w:rPr>
        <w:t xml:space="preserve">su se rashodi za prijevoz</w:t>
      </w:r>
      <w:r>
        <w:rPr>
          <w:rFonts w:ascii="Times New Roman" w:hAnsi="Times New Roman" w:cs="Times New Roman"/>
          <w:bCs/>
          <w:sz w:val="24"/>
          <w:szCs w:val="24"/>
        </w:rPr>
        <w:t xml:space="preserve"> djece s poteškoćama u razvoju te usluge tekućeg održavanja škole. 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Ostali rashodi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u 2026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godini </w:t>
      </w:r>
      <w:r>
        <w:rPr>
          <w:rFonts w:ascii="Times New Roman" w:hAnsi="Times New Roman" w:cs="Times New Roman"/>
          <w:bCs/>
          <w:sz w:val="24"/>
          <w:szCs w:val="24"/>
        </w:rPr>
        <w:t xml:space="preserve">škola je dobila više sredstava za nabavu </w:t>
      </w:r>
      <w:r>
        <w:rPr>
          <w:rFonts w:ascii="Times New Roman" w:hAnsi="Times New Roman" w:cs="Times New Roman"/>
          <w:bCs/>
          <w:sz w:val="24"/>
          <w:szCs w:val="24"/>
        </w:rPr>
        <w:t xml:space="preserve">besplatnih</w:t>
      </w:r>
      <w:r>
        <w:rPr>
          <w:rFonts w:ascii="Times New Roman" w:hAnsi="Times New Roman" w:cs="Times New Roman"/>
          <w:bCs/>
          <w:sz w:val="24"/>
          <w:szCs w:val="24"/>
        </w:rPr>
        <w:t xml:space="preserve"> zalihama menstrualnih higijenskih potrepština</w:t>
      </w:r>
      <w:r>
        <w:rPr>
          <w:rFonts w:ascii="Times New Roman" w:hAnsi="Times New Roman" w:cs="Times New Roman"/>
          <w:bCs/>
          <w:sz w:val="24"/>
          <w:szCs w:val="24"/>
        </w:rPr>
        <w:t xml:space="preserve"> od M</w:t>
      </w:r>
      <w:r>
        <w:rPr>
          <w:rFonts w:ascii="Times New Roman" w:hAnsi="Times New Roman" w:cs="Times New Roman"/>
          <w:bCs/>
          <w:sz w:val="24"/>
          <w:szCs w:val="24"/>
        </w:rPr>
        <w:t xml:space="preserve">inistarstvo rada, mirovinskoga sustava, obitelji i socijalne politike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</w:p>
    <w:p>
      <w:pPr>
        <w:spacing w:after="0" w:line="240" w:lineRule="auto"/>
        <w:jc w:val="both"/>
        <w:rPr>
          <w:rFonts w:ascii="Calibri" w:hAnsi="Calibri" w:eastAsia="Times New Roman" w:cs="Calibri"/>
          <w:b/>
          <w:bCs/>
          <w:color w:val="000000"/>
          <w:sz w:val="20"/>
          <w:szCs w:val="20"/>
          <w:lang w:eastAsia="hr-HR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 – rashodi za nabavu nefinancijske imovine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ostvareno je </w:t>
      </w:r>
      <w:r>
        <w:rPr>
          <w:rFonts w:ascii="Times New Roman" w:hAnsi="Times New Roman" w:cs="Times New Roman"/>
          <w:bCs/>
          <w:sz w:val="24"/>
          <w:szCs w:val="24"/>
        </w:rPr>
        <w:t xml:space="preserve">723,78</w:t>
      </w:r>
      <w:r>
        <w:rPr>
          <w:rFonts w:ascii="Times New Roman" w:hAnsi="Times New Roman" w:cs="Times New Roman"/>
          <w:bCs/>
          <w:sz w:val="24"/>
          <w:szCs w:val="24"/>
        </w:rPr>
        <w:t xml:space="preserve"> % u </w:t>
      </w:r>
      <w:r>
        <w:rPr>
          <w:rFonts w:ascii="Times New Roman" w:hAnsi="Times New Roman" w:cs="Times New Roman"/>
          <w:bCs/>
          <w:sz w:val="24"/>
          <w:szCs w:val="24"/>
        </w:rPr>
        <w:t xml:space="preserve">odnosu na 2025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godinu. Došlo je do znatnog </w:t>
      </w:r>
      <w:r>
        <w:rPr>
          <w:rFonts w:ascii="Times New Roman" w:hAnsi="Times New Roman" w:cs="Times New Roman"/>
          <w:bCs/>
          <w:sz w:val="24"/>
          <w:szCs w:val="24"/>
        </w:rPr>
        <w:t xml:space="preserve">povećanja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jer je škola u 2025. godini kupila jedan projektor i garnit</w:t>
      </w:r>
      <w:r>
        <w:rPr>
          <w:rFonts w:ascii="Times New Roman" w:hAnsi="Times New Roman" w:cs="Times New Roman"/>
          <w:sz w:val="24"/>
          <w:szCs w:val="24"/>
        </w:rPr>
        <w:t xml:space="preserve">uru za hol vlastitim sredstvima, dok je u 2026. godini nabavila uredske stolice, projektore i računala za učionice.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pStyle w:val="Odlomakpopisa"/>
        <w:numPr>
          <w:ilvl w:val="1"/>
          <w:numId w:val="2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Izvještaj o prihodima i rashodima prema izvorima financiranja</w:t>
      </w:r>
    </w:p>
    <w:p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se financira sredstvima</w:t>
      </w:r>
      <w:r>
        <w:rPr>
          <w:rFonts w:ascii="Times New Roman" w:hAnsi="Times New Roman" w:cs="Times New Roman"/>
          <w:sz w:val="24"/>
          <w:szCs w:val="24"/>
        </w:rPr>
        <w:t xml:space="preserve"> iz različitih izvora kako bi unaprijedila obrazovni proces i osigurala kvalitetnije uvjete rada.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Sredstvima </w:t>
      </w:r>
      <w:r>
        <w:rPr>
          <w:rFonts w:ascii="Times New Roman" w:hAnsi="Times New Roman" w:cs="Times New Roman"/>
          <w:sz w:val="24"/>
          <w:szCs w:val="24"/>
        </w:rPr>
        <w:t xml:space="preserve">Ministarstva znanosti, obrazovanja i</w:t>
      </w:r>
      <w:r>
        <w:rPr>
          <w:rFonts w:ascii="Times New Roman" w:hAnsi="Times New Roman" w:cs="Times New Roman"/>
          <w:sz w:val="24"/>
          <w:szCs w:val="24"/>
        </w:rPr>
        <w:t xml:space="preserve"> mladih</w:t>
      </w:r>
      <w:r>
        <w:rPr>
          <w:rFonts w:ascii="Times New Roman" w:hAnsi="Times New Roman" w:cs="Times New Roman"/>
          <w:sz w:val="24"/>
          <w:szCs w:val="24"/>
        </w:rPr>
        <w:t xml:space="preserve"> financiraju se </w:t>
      </w:r>
      <w:r>
        <w:rPr>
          <w:rFonts w:ascii="Times New Roman" w:hAnsi="Times New Roman" w:cs="Times New Roman"/>
          <w:sz w:val="24"/>
          <w:szCs w:val="24"/>
        </w:rPr>
        <w:t xml:space="preserve">plaće i doprinosi na plaće, materijalna prava</w:t>
      </w:r>
      <w:r>
        <w:rPr>
          <w:rFonts w:ascii="Times New Roman" w:hAnsi="Times New Roman" w:cs="Times New Roman"/>
          <w:sz w:val="24"/>
          <w:szCs w:val="24"/>
        </w:rPr>
        <w:t xml:space="preserve"> radnika iz Kolektivnog ugovora te</w:t>
      </w:r>
      <w:r>
        <w:rPr>
          <w:rFonts w:ascii="Times New Roman" w:hAnsi="Times New Roman" w:cs="Times New Roman"/>
          <w:sz w:val="24"/>
          <w:szCs w:val="24"/>
        </w:rPr>
        <w:t xml:space="preserve"> naknada za nezapoš</w:t>
      </w:r>
      <w:r>
        <w:rPr>
          <w:rFonts w:ascii="Times New Roman" w:hAnsi="Times New Roman" w:cs="Times New Roman"/>
          <w:sz w:val="24"/>
          <w:szCs w:val="24"/>
        </w:rPr>
        <w:t xml:space="preserve">ljavanje osoba s invaliditetom.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Decentralizirana sredstva</w:t>
      </w:r>
      <w:r>
        <w:rPr>
          <w:rFonts w:ascii="Times New Roman" w:hAnsi="Times New Roman" w:cs="Times New Roman"/>
          <w:sz w:val="24"/>
          <w:szCs w:val="24"/>
        </w:rPr>
        <w:t xml:space="preserve"> Zadarske županije </w:t>
      </w:r>
      <w:r>
        <w:rPr>
          <w:rFonts w:ascii="Times New Roman" w:hAnsi="Times New Roman" w:cs="Times New Roman"/>
          <w:sz w:val="24"/>
          <w:szCs w:val="24"/>
        </w:rPr>
        <w:t xml:space="preserve">namijenjena su pokrivanju </w:t>
      </w:r>
      <w:r>
        <w:rPr>
          <w:rFonts w:ascii="Times New Roman" w:hAnsi="Times New Roman" w:cs="Times New Roman"/>
          <w:sz w:val="24"/>
          <w:szCs w:val="24"/>
        </w:rPr>
        <w:t xml:space="preserve">materijalnih troškova i održavanju infrastrukture</w:t>
      </w:r>
      <w:r>
        <w:rPr>
          <w:rFonts w:ascii="Times New Roman" w:hAnsi="Times New Roman" w:cs="Times New Roman"/>
          <w:sz w:val="24"/>
          <w:szCs w:val="24"/>
        </w:rPr>
        <w:t xml:space="preserve">. Uz navedene izvore, škola svoje financiranje ostvaruje i putem </w:t>
      </w:r>
      <w:r>
        <w:rPr>
          <w:rFonts w:ascii="Times New Roman" w:hAnsi="Times New Roman" w:cs="Times New Roman"/>
          <w:sz w:val="24"/>
          <w:szCs w:val="24"/>
        </w:rPr>
        <w:t xml:space="preserve">vlastitih prihoda, donacija te sredstava dobivenih iz EU projekata, što omogućava daljnji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razvoj škole, modernizaciju nastave i poboljšanje uvjeta za učenike i nastavnike.</w:t>
      </w:r>
    </w:p>
    <w:p>
      <w:pPr>
        <w:spacing w:after="0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Izvor 1 – opći prihodi i primici – indeks izvršenja</w:t>
      </w:r>
      <w:r>
        <w:rPr>
          <w:rFonts w:ascii="Times New Roman" w:hAnsi="Times New Roman" w:cs="Times New Roman"/>
          <w:bCs/>
          <w:sz w:val="24"/>
          <w:szCs w:val="24"/>
        </w:rPr>
        <w:t xml:space="preserve"> prihoda</w:t>
      </w:r>
      <w:r>
        <w:rPr>
          <w:rFonts w:ascii="Times New Roman" w:hAnsi="Times New Roman" w:cs="Times New Roman"/>
          <w:bCs/>
          <w:sz w:val="24"/>
          <w:szCs w:val="24"/>
        </w:rPr>
        <w:t xml:space="preserve"> u odnosu na prethodnu godinu iznosi </w:t>
      </w:r>
      <w:r>
        <w:rPr>
          <w:rFonts w:ascii="Times New Roman" w:hAnsi="Times New Roman" w:cs="Times New Roman"/>
          <w:bCs/>
          <w:sz w:val="24"/>
          <w:szCs w:val="24"/>
        </w:rPr>
        <w:t xml:space="preserve">134,27 %, dok indeks izvršenja rashoda iznosi 80,24 %. </w:t>
      </w:r>
      <w:r>
        <w:rPr>
          <w:rFonts w:ascii="Times New Roman" w:hAnsi="Times New Roman" w:cs="Times New Roman"/>
          <w:bCs/>
          <w:sz w:val="24"/>
          <w:szCs w:val="24"/>
        </w:rPr>
        <w:t xml:space="preserve">Tu spadaju sredstva k</w:t>
      </w:r>
      <w:r>
        <w:rPr>
          <w:rFonts w:ascii="Times New Roman" w:hAnsi="Times New Roman" w:cs="Times New Roman"/>
          <w:bCs/>
          <w:sz w:val="24"/>
          <w:szCs w:val="24"/>
        </w:rPr>
        <w:t xml:space="preserve">oje je dao nadležni proračun </w:t>
      </w:r>
      <w:r>
        <w:rPr>
          <w:rFonts w:ascii="Times New Roman" w:hAnsi="Times New Roman" w:cs="Times New Roman"/>
          <w:bCs/>
          <w:sz w:val="24"/>
          <w:szCs w:val="24"/>
        </w:rPr>
        <w:t xml:space="preserve">za </w:t>
      </w:r>
      <w:r>
        <w:rPr>
          <w:rFonts w:ascii="Times New Roman" w:hAnsi="Times New Roman" w:cs="Times New Roman"/>
          <w:bCs/>
          <w:sz w:val="24"/>
          <w:szCs w:val="24"/>
        </w:rPr>
        <w:t xml:space="preserve">financiranje e-tehničara</w:t>
      </w:r>
      <w:r>
        <w:rPr>
          <w:rFonts w:ascii="Times New Roman" w:hAnsi="Times New Roman" w:cs="Times New Roman"/>
          <w:bCs/>
          <w:sz w:val="24"/>
          <w:szCs w:val="24"/>
        </w:rPr>
        <w:t xml:space="preserve"> te pomoćnika u nastavi koji se financiraju iz</w:t>
      </w:r>
      <w:r>
        <w:rPr>
          <w:rFonts w:ascii="Times New Roman" w:hAnsi="Times New Roman" w:cs="Times New Roman"/>
          <w:bCs/>
          <w:sz w:val="24"/>
          <w:szCs w:val="24"/>
        </w:rPr>
        <w:t xml:space="preserve"> županijskih sredstava. 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Izvor 3 – vlastiti prihodi – indeks iz</w:t>
      </w:r>
      <w:r>
        <w:rPr>
          <w:rFonts w:ascii="Times New Roman" w:hAnsi="Times New Roman" w:cs="Times New Roman"/>
          <w:bCs/>
          <w:sz w:val="24"/>
          <w:szCs w:val="24"/>
        </w:rPr>
        <w:t xml:space="preserve">vršenja </w:t>
      </w:r>
      <w:r>
        <w:rPr>
          <w:rFonts w:ascii="Times New Roman" w:hAnsi="Times New Roman" w:cs="Times New Roman"/>
          <w:bCs/>
          <w:sz w:val="24"/>
          <w:szCs w:val="24"/>
        </w:rPr>
        <w:t xml:space="preserve">prihoda u odnosu na 2025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godinu iznosi </w:t>
      </w:r>
      <w:r>
        <w:rPr>
          <w:rFonts w:ascii="Times New Roman" w:hAnsi="Times New Roman" w:cs="Times New Roman"/>
          <w:bCs/>
          <w:sz w:val="24"/>
          <w:szCs w:val="24"/>
        </w:rPr>
        <w:t xml:space="preserve">61,75</w:t>
      </w:r>
      <w:r>
        <w:rPr>
          <w:rFonts w:ascii="Times New Roman" w:hAnsi="Times New Roman" w:cs="Times New Roman"/>
          <w:bCs/>
          <w:sz w:val="24"/>
          <w:szCs w:val="24"/>
        </w:rPr>
        <w:t xml:space="preserve"> %, jer je škola prihodovala </w:t>
      </w:r>
      <w:r>
        <w:rPr>
          <w:rFonts w:ascii="Times New Roman" w:hAnsi="Times New Roman" w:cs="Times New Roman"/>
          <w:bCs/>
          <w:sz w:val="24"/>
          <w:szCs w:val="24"/>
        </w:rPr>
        <w:t xml:space="preserve">manje</w:t>
      </w:r>
      <w:r>
        <w:rPr>
          <w:rFonts w:ascii="Times New Roman" w:hAnsi="Times New Roman" w:cs="Times New Roman"/>
          <w:bCs/>
          <w:sz w:val="24"/>
          <w:szCs w:val="24"/>
        </w:rPr>
        <w:t xml:space="preserve"> novaca od najma </w:t>
      </w:r>
      <w:r>
        <w:rPr>
          <w:rFonts w:ascii="Times New Roman" w:hAnsi="Times New Roman" w:cs="Times New Roman"/>
          <w:bCs/>
          <w:sz w:val="24"/>
          <w:szCs w:val="24"/>
        </w:rPr>
        <w:t xml:space="preserve">školskog prostora</w:t>
      </w:r>
      <w:r>
        <w:rPr>
          <w:rFonts w:ascii="Times New Roman" w:hAnsi="Times New Roman" w:cs="Times New Roman"/>
          <w:bCs/>
          <w:sz w:val="24"/>
          <w:szCs w:val="24"/>
        </w:rPr>
        <w:t xml:space="preserve"> te pružanja usluge </w:t>
      </w:r>
      <w:r>
        <w:rPr>
          <w:rFonts w:ascii="Times New Roman" w:hAnsi="Times New Roman" w:cs="Times New Roman"/>
          <w:bCs/>
          <w:sz w:val="24"/>
          <w:szCs w:val="24"/>
        </w:rPr>
        <w:t xml:space="preserve">cateringa</w:t>
      </w:r>
      <w:r>
        <w:rPr>
          <w:rFonts w:ascii="Times New Roman" w:hAnsi="Times New Roman" w:cs="Times New Roman"/>
          <w:bCs/>
          <w:sz w:val="24"/>
          <w:szCs w:val="24"/>
        </w:rPr>
        <w:t xml:space="preserve"> za razne manifestacije. 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Izvor 4 – prihod za posebne namjene – indeks izvršenja prihoda u odnosu na prethodnu godinu iznosi </w:t>
      </w:r>
      <w:r>
        <w:rPr>
          <w:rFonts w:ascii="Times New Roman" w:hAnsi="Times New Roman" w:cs="Times New Roman"/>
          <w:bCs/>
          <w:sz w:val="24"/>
          <w:szCs w:val="24"/>
        </w:rPr>
        <w:t xml:space="preserve">93,78</w:t>
      </w:r>
      <w:r>
        <w:rPr>
          <w:rFonts w:ascii="Times New Roman" w:hAnsi="Times New Roman" w:cs="Times New Roman"/>
          <w:bCs/>
          <w:sz w:val="24"/>
          <w:szCs w:val="24"/>
        </w:rPr>
        <w:t xml:space="preserve"> % jer </w:t>
      </w:r>
      <w:r>
        <w:rPr>
          <w:rFonts w:ascii="Times New Roman" w:hAnsi="Times New Roman" w:cs="Times New Roman"/>
          <w:bCs/>
          <w:sz w:val="24"/>
          <w:szCs w:val="24"/>
        </w:rPr>
        <w:t xml:space="preserve">se </w:t>
      </w:r>
      <w:r>
        <w:rPr>
          <w:rFonts w:ascii="Times New Roman" w:hAnsi="Times New Roman" w:cs="Times New Roman"/>
          <w:bCs/>
          <w:sz w:val="24"/>
          <w:szCs w:val="24"/>
        </w:rPr>
        <w:t xml:space="preserve">smanjio</w:t>
      </w:r>
      <w:r>
        <w:rPr>
          <w:rFonts w:ascii="Times New Roman" w:hAnsi="Times New Roman" w:cs="Times New Roman"/>
          <w:bCs/>
          <w:sz w:val="24"/>
          <w:szCs w:val="24"/>
        </w:rPr>
        <w:t xml:space="preserve"> prihod iz nadležnog</w:t>
      </w:r>
      <w:r>
        <w:rPr>
          <w:rFonts w:ascii="Times New Roman" w:hAnsi="Times New Roman" w:cs="Times New Roman"/>
          <w:bCs/>
          <w:sz w:val="24"/>
          <w:szCs w:val="24"/>
        </w:rPr>
        <w:t xml:space="preserve"> proračun</w:t>
      </w:r>
      <w:r>
        <w:rPr>
          <w:rFonts w:ascii="Times New Roman" w:hAnsi="Times New Roman" w:cs="Times New Roman"/>
          <w:bCs/>
          <w:sz w:val="24"/>
          <w:szCs w:val="24"/>
        </w:rPr>
        <w:t xml:space="preserve">a za financi</w:t>
      </w:r>
      <w:r>
        <w:rPr>
          <w:rFonts w:ascii="Times New Roman" w:hAnsi="Times New Roman" w:cs="Times New Roman"/>
          <w:bCs/>
          <w:sz w:val="24"/>
          <w:szCs w:val="24"/>
        </w:rPr>
        <w:t xml:space="preserve">ranje redovnog poslovanja škole. Rashodi iz izvora 4 su se povećali jer je škola financirala nabavku dugotrajne imovine </w:t>
      </w:r>
      <w:r>
        <w:rPr>
          <w:rFonts w:ascii="Times New Roman" w:hAnsi="Times New Roman" w:cs="Times New Roman"/>
          <w:bCs/>
          <w:sz w:val="24"/>
          <w:szCs w:val="24"/>
        </w:rPr>
        <w:t xml:space="preserve">viška vlastitih sredstava iz prethodnih godina.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Izvor 5 – pomoći – indeks izvršenja prihoda iznosi </w:t>
      </w:r>
      <w:r>
        <w:rPr>
          <w:rFonts w:ascii="Times New Roman" w:hAnsi="Times New Roman" w:cs="Times New Roman"/>
          <w:bCs/>
          <w:sz w:val="24"/>
          <w:szCs w:val="24"/>
        </w:rPr>
        <w:t xml:space="preserve">110,50</w:t>
      </w:r>
      <w:r>
        <w:rPr>
          <w:rFonts w:ascii="Times New Roman" w:hAnsi="Times New Roman" w:cs="Times New Roman"/>
          <w:bCs/>
          <w:sz w:val="24"/>
          <w:szCs w:val="24"/>
        </w:rPr>
        <w:t xml:space="preserve"> % u odnosu na godinu ranije i tu spadaju sredstva Državnog proračuna za </w:t>
      </w:r>
      <w:r>
        <w:rPr>
          <w:rFonts w:ascii="Times New Roman" w:hAnsi="Times New Roman" w:cs="Times New Roman"/>
          <w:sz w:val="24"/>
          <w:szCs w:val="24"/>
        </w:rPr>
        <w:t xml:space="preserve">podmir</w:t>
      </w:r>
      <w:r>
        <w:rPr>
          <w:rFonts w:ascii="Times New Roman" w:hAnsi="Times New Roman" w:cs="Times New Roman"/>
          <w:sz w:val="24"/>
          <w:szCs w:val="24"/>
        </w:rPr>
        <w:t xml:space="preserve">enje rashode plaća zaposlenika š</w:t>
      </w:r>
      <w:r>
        <w:rPr>
          <w:rFonts w:ascii="Times New Roman" w:hAnsi="Times New Roman" w:cs="Times New Roman"/>
          <w:sz w:val="24"/>
          <w:szCs w:val="24"/>
        </w:rPr>
        <w:t xml:space="preserve">kole, doprinosi iz plaće, rashodi za materijalna prava koja zaposlenici imaju prema Kolektivnom ugovoru te naknada za nezapošljavanje osoba s invaliditetom. Povećanje indeksa ostvarenja plana rezultat je</w:t>
      </w:r>
      <w:r>
        <w:rPr>
          <w:rFonts w:ascii="Times New Roman" w:hAnsi="Times New Roman" w:cs="Times New Roman"/>
          <w:sz w:val="24"/>
          <w:szCs w:val="24"/>
        </w:rPr>
        <w:t xml:space="preserve"> rasta plaća</w:t>
      </w:r>
      <w:r>
        <w:rPr>
          <w:rFonts w:ascii="Times New Roman" w:hAnsi="Times New Roman" w:cs="Times New Roman"/>
          <w:sz w:val="24"/>
          <w:szCs w:val="24"/>
        </w:rPr>
        <w:t xml:space="preserve">. Također tu spada dio sredstava za financiranje plaće pomoćnika </w:t>
      </w:r>
      <w:r>
        <w:rPr>
          <w:rFonts w:ascii="Times New Roman" w:hAnsi="Times New Roman" w:cs="Times New Roman"/>
          <w:sz w:val="24"/>
          <w:szCs w:val="24"/>
        </w:rPr>
        <w:t xml:space="preserve">u nastavi iz projekta </w:t>
      </w:r>
      <w:r>
        <w:rPr>
          <w:rFonts w:ascii="Times New Roman" w:hAnsi="Times New Roman" w:cs="Times New Roman"/>
          <w:sz w:val="24"/>
          <w:szCs w:val="24"/>
        </w:rPr>
        <w:t xml:space="preserve">Inkluzija</w:t>
      </w:r>
      <w:r>
        <w:rPr>
          <w:rFonts w:ascii="Times New Roman" w:hAnsi="Times New Roman" w:cs="Times New Roman"/>
          <w:sz w:val="24"/>
          <w:szCs w:val="24"/>
        </w:rPr>
        <w:t xml:space="preserve"> te prihodi za troškove prijevoza djece s posebnim potrebama.</w:t>
      </w:r>
    </w:p>
    <w:p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6 – donacije – indeks izvršenja donacija iznosi </w:t>
      </w:r>
      <w:r>
        <w:rPr>
          <w:rFonts w:ascii="Times New Roman" w:hAnsi="Times New Roman" w:cs="Times New Roman"/>
          <w:sz w:val="24"/>
          <w:szCs w:val="24"/>
        </w:rPr>
        <w:t xml:space="preserve">0 % u odnosu na 2025</w:t>
      </w:r>
      <w:r>
        <w:rPr>
          <w:rFonts w:ascii="Times New Roman" w:hAnsi="Times New Roman" w:cs="Times New Roman"/>
          <w:sz w:val="24"/>
          <w:szCs w:val="24"/>
        </w:rPr>
        <w:t xml:space="preserve">. godinu jer škola nije dobila nikakve donacije u tekućoj godini.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Obrazloženje posebnog dijela izvještaja o izvršenju financijskog plana</w:t>
      </w:r>
    </w:p>
    <w:p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ind w:left="-66" w:righ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Prioritet š</w:t>
      </w:r>
      <w:r>
        <w:rPr>
          <w:rFonts w:ascii="Times New Roman" w:hAnsi="Times New Roman" w:cs="Times New Roman"/>
          <w:sz w:val="24"/>
          <w:szCs w:val="24"/>
        </w:rPr>
        <w:t xml:space="preserve">kole je podizanje kvalitete</w:t>
      </w:r>
      <w:r>
        <w:rPr>
          <w:rFonts w:ascii="Times New Roman" w:hAnsi="Times New Roman" w:cs="Times New Roman"/>
          <w:sz w:val="24"/>
          <w:szCs w:val="24"/>
        </w:rPr>
        <w:t xml:space="preserve"> nastave na što višu razinu i to kontinuiranim kvalitetnim usavršavanjem nastavnika, sudjelovanjem na </w:t>
      </w:r>
      <w:r>
        <w:rPr>
          <w:rFonts w:ascii="Times New Roman" w:hAnsi="Times New Roman" w:cs="Times New Roman"/>
          <w:sz w:val="24"/>
          <w:szCs w:val="24"/>
        </w:rPr>
        <w:t xml:space="preserve">seminarima i stručnim skupovima</w:t>
      </w:r>
      <w:r>
        <w:rPr>
          <w:rFonts w:ascii="Times New Roman" w:hAnsi="Times New Roman" w:cs="Times New Roman"/>
          <w:sz w:val="24"/>
          <w:szCs w:val="24"/>
        </w:rPr>
        <w:t xml:space="preserve"> te podizanjem </w:t>
      </w:r>
      <w:r>
        <w:rPr>
          <w:rFonts w:ascii="Times New Roman" w:hAnsi="Times New Roman" w:cs="Times New Roman"/>
          <w:sz w:val="24"/>
          <w:szCs w:val="24"/>
        </w:rPr>
        <w:t xml:space="preserve">materijalnih i drugih uvjeta u š</w:t>
      </w:r>
      <w:r>
        <w:rPr>
          <w:rFonts w:ascii="Times New Roman" w:hAnsi="Times New Roman" w:cs="Times New Roman"/>
          <w:sz w:val="24"/>
          <w:szCs w:val="24"/>
        </w:rPr>
        <w:t xml:space="preserve">koli, a sve u sk</w:t>
      </w:r>
      <w:r>
        <w:rPr>
          <w:rFonts w:ascii="Times New Roman" w:hAnsi="Times New Roman" w:cs="Times New Roman"/>
          <w:sz w:val="24"/>
          <w:szCs w:val="24"/>
        </w:rPr>
        <w:t xml:space="preserve">ladu s Planom i programom </w:t>
      </w:r>
      <w:r>
        <w:rPr>
          <w:rFonts w:ascii="Times New Roman" w:hAnsi="Times New Roman" w:cs="Times New Roman"/>
          <w:sz w:val="24"/>
          <w:szCs w:val="24"/>
        </w:rPr>
        <w:t xml:space="preserve">te mogućnostima</w:t>
      </w:r>
      <w:r>
        <w:rPr>
          <w:rFonts w:ascii="Times New Roman" w:hAnsi="Times New Roman" w:cs="Times New Roman"/>
          <w:sz w:val="24"/>
          <w:szCs w:val="24"/>
        </w:rPr>
        <w:t xml:space="preserve"> š</w:t>
      </w:r>
      <w:r>
        <w:rPr>
          <w:rFonts w:ascii="Times New Roman" w:hAnsi="Times New Roman" w:cs="Times New Roman"/>
          <w:sz w:val="24"/>
          <w:szCs w:val="24"/>
        </w:rPr>
        <w:t xml:space="preserve">kole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spacing w:after="0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također planira i dalje sudjelovati i doprinositi dalj</w:t>
      </w:r>
      <w:r>
        <w:rPr>
          <w:rFonts w:ascii="Times New Roman" w:hAnsi="Times New Roman" w:cs="Times New Roman"/>
          <w:sz w:val="24"/>
          <w:szCs w:val="24"/>
        </w:rPr>
        <w:t xml:space="preserve">njem razvoju putem EU projekata</w:t>
      </w:r>
      <w:r>
        <w:rPr>
          <w:rFonts w:ascii="Times New Roman" w:hAnsi="Times New Roman" w:cs="Times New Roman"/>
          <w:sz w:val="24"/>
          <w:szCs w:val="24"/>
        </w:rPr>
        <w:t xml:space="preserve"> te zaposlenicima i učenicima poboljšati uvjete rada i školovanja.</w:t>
      </w:r>
    </w:p>
    <w:p>
      <w:pPr>
        <w:spacing w:after="0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Kod učenika se trudi</w:t>
      </w:r>
      <w:r>
        <w:rPr>
          <w:rFonts w:ascii="Times New Roman" w:hAnsi="Times New Roman" w:cs="Times New Roman"/>
          <w:sz w:val="24"/>
          <w:szCs w:val="24"/>
        </w:rPr>
        <w:t xml:space="preserve"> razviti samoinicijativnost, marljivost, odgovornost, ali i njihovu poduzetnost kroz uključivanje u razne slobodne aktivnosti, sudjelovanje u manifestacijama, natjecanja, vježbeničke praks</w:t>
      </w:r>
      <w:r>
        <w:rPr>
          <w:rFonts w:ascii="Times New Roman" w:hAnsi="Times New Roman" w:cs="Times New Roman"/>
          <w:sz w:val="24"/>
          <w:szCs w:val="24"/>
        </w:rPr>
        <w:t xml:space="preserve">e, kao i druge školske projekte</w:t>
      </w:r>
      <w:r>
        <w:rPr>
          <w:rFonts w:ascii="Times New Roman" w:hAnsi="Times New Roman" w:cs="Times New Roman"/>
          <w:sz w:val="24"/>
          <w:szCs w:val="24"/>
        </w:rPr>
        <w:t xml:space="preserve"> te ih osposobiti za rad ili nastavak školovanja prema zahtjevima tržišnog gospodarstva.</w:t>
      </w:r>
    </w:p>
    <w:p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Odlomakpopisa"/>
        <w:numPr>
          <w:ilvl w:val="1"/>
          <w:numId w:val="2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Izvještaj o izvršenju financijskog 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lana 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Prema ekonomskoj klasifikaciji, programima te izvorima financiranja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/>
      </w:r>
    </w:p>
    <w:p>
      <w:pPr>
        <w:pStyle w:val="Odlomakpopisa"/>
        <w:spacing w:after="0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Odlomakpopisa"/>
        <w:numPr>
          <w:ilvl w:val="2"/>
          <w:numId w:val="25"/>
        </w:num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Program 2204 – srednje školstvo standard</w:t>
      </w:r>
    </w:p>
    <w:p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programa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Srednje školstvo – standard provodi se kroz 2 aktivnosti:</w:t>
      </w:r>
    </w:p>
    <w:p>
      <w:pPr>
        <w:pStyle w:val="Odlomakpopisa"/>
        <w:numPr>
          <w:ilvl w:val="0"/>
          <w:numId w:val="24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A2204-01 Djelatnost srednjih škola</w:t>
      </w:r>
    </w:p>
    <w:p>
      <w:pPr>
        <w:pStyle w:val="Odlomakpopisa"/>
        <w:numPr>
          <w:ilvl w:val="0"/>
          <w:numId w:val="24"/>
        </w:numPr>
        <w:spacing w:before="24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A2204-07 Administracija i upravljanje</w:t>
      </w:r>
    </w:p>
    <w:p>
      <w:pPr>
        <w:pStyle w:val="Odlomakpopisa"/>
        <w:spacing w:after="0"/>
        <w:ind w:left="1224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DJELATNOST SREDNJIH ŠKOLA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rPr>
          <w:cantSplit/>
        </w:trPr>
        <w:tc>
          <w:tcPr>
            <w:tcW w:type="dxa" w:w="1812"/>
            <w:tcBorders/>
            <w:shd w:fill="BFBFBF" w:color="auto" w:val="clear"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Program</w:t>
            </w:r>
          </w:p>
        </w:tc>
        <w:tc>
          <w:tcPr>
            <w:tcW w:type="dxa" w:w="1812"/>
            <w:tcBorders/>
            <w:shd w:fill="BFBFBF" w:color="auto" w:val="clear"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Aktivnost</w:t>
            </w:r>
          </w:p>
        </w:tc>
        <w:tc>
          <w:tcPr>
            <w:tcW w:type="dxa" w:w="1812"/>
            <w:tcBorders/>
            <w:shd w:fill="BFBFBF" w:color="auto" w:val="clear"/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Planirano</w:t>
            </w:r>
          </w:p>
        </w:tc>
        <w:tc>
          <w:tcPr>
            <w:tcW w:type="dxa" w:w="1813"/>
            <w:tcBorders/>
            <w:shd w:fill="BFBFBF" w:color="auto" w:val="clear"/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Izvršenje plana 2026</w:t>
            </w:r>
          </w:p>
        </w:tc>
        <w:tc>
          <w:tcPr>
            <w:tcW w:type="dxa" w:w="1813"/>
            <w:tcBorders/>
            <w:shd w:fill="BFBFBF" w:color="auto" w:val="clear"/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izvršenja plana 2026</w:t>
            </w:r>
          </w:p>
        </w:tc>
      </w:tr>
      <w:tr>
        <w:trPr/>
        <w:tc>
          <w:tcPr>
            <w:tcW w:type="dxa" w:w="1812"/>
            <w:tcBorders/>
            <w:vAlign w:val="bottom"/>
          </w:tcPr>
          <w:p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2204</w:t>
            </w:r>
          </w:p>
        </w:tc>
        <w:tc>
          <w:tcPr>
            <w:tcW w:type="dxa" w:w="1812"/>
            <w:tcBorders/>
            <w:vAlign w:val="bottom"/>
          </w:tcPr>
          <w:p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A2204 – 01</w:t>
            </w:r>
          </w:p>
        </w:tc>
        <w:tc>
          <w:tcPr>
            <w:tcW w:type="dxa" w:w="1812"/>
            <w:tcBorders/>
            <w:vAlign w:val="bottom"/>
          </w:tcPr>
          <w:p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978,97</w:t>
            </w:r>
          </w:p>
        </w:tc>
        <w:tc>
          <w:tcPr>
            <w:tcW w:type="dxa" w:w="1813"/>
            <w:tcBorders/>
            <w:vAlign w:val="bottom"/>
          </w:tcPr>
          <w:p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95.771,46</w:t>
            </w:r>
          </w:p>
        </w:tc>
        <w:tc>
          <w:tcPr>
            <w:tcW w:type="dxa" w:w="1813"/>
            <w:tcBorders/>
            <w:vAlign w:val="bottom"/>
          </w:tcPr>
          <w:p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49,37</w:t>
            </w:r>
          </w:p>
        </w:tc>
      </w:tr>
    </w:tbl>
    <w:p>
      <w:pPr>
        <w:spacing w:before="24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Aktivnosti</w:t>
      </w:r>
      <w:r>
        <w:rPr>
          <w:rFonts w:ascii="Times New Roman" w:hAnsi="Times New Roman" w:cs="Times New Roman"/>
          <w:sz w:val="24"/>
          <w:szCs w:val="24"/>
        </w:rPr>
        <w:t xml:space="preserve"> i sredstva namijenjena su financiranju materijalnih r</w:t>
      </w:r>
      <w:r>
        <w:rPr>
          <w:rFonts w:ascii="Times New Roman" w:hAnsi="Times New Roman" w:cs="Times New Roman"/>
          <w:sz w:val="24"/>
          <w:szCs w:val="24"/>
        </w:rPr>
        <w:t xml:space="preserve">ashoda š</w:t>
      </w:r>
      <w:r>
        <w:rPr>
          <w:rFonts w:ascii="Times New Roman" w:hAnsi="Times New Roman" w:cs="Times New Roman"/>
          <w:sz w:val="24"/>
          <w:szCs w:val="24"/>
        </w:rPr>
        <w:t xml:space="preserve">kole, a koji se sastoje od troška prijevoza zaposlen</w:t>
      </w:r>
      <w:r>
        <w:rPr>
          <w:rFonts w:ascii="Times New Roman" w:hAnsi="Times New Roman" w:cs="Times New Roman"/>
          <w:sz w:val="24"/>
          <w:szCs w:val="24"/>
        </w:rPr>
        <w:t xml:space="preserve">ika s posla i na posao, službenih putovanja i usavršavanja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zaposlenika, za podmiriv</w:t>
      </w:r>
      <w:r>
        <w:rPr>
          <w:rFonts w:ascii="Times New Roman" w:hAnsi="Times New Roman" w:cs="Times New Roman"/>
          <w:sz w:val="24"/>
          <w:szCs w:val="24"/>
        </w:rPr>
        <w:t xml:space="preserve">anje troška uredskog materijala</w:t>
      </w:r>
      <w:r>
        <w:rPr>
          <w:rFonts w:ascii="Times New Roman" w:hAnsi="Times New Roman" w:cs="Times New Roman"/>
          <w:sz w:val="24"/>
          <w:szCs w:val="24"/>
        </w:rPr>
        <w:t xml:space="preserve"> te materijala za čišćenje i higijenu, komunalne usluge, grijanje, usluge održavanja računala, usluge i materijal</w:t>
      </w:r>
      <w:r>
        <w:rPr>
          <w:rFonts w:ascii="Times New Roman" w:hAnsi="Times New Roman" w:cs="Times New Roman"/>
          <w:sz w:val="24"/>
          <w:szCs w:val="24"/>
        </w:rPr>
        <w:t xml:space="preserve">a za redovno </w:t>
      </w:r>
      <w:r>
        <w:rPr>
          <w:rFonts w:ascii="Times New Roman" w:hAnsi="Times New Roman" w:cs="Times New Roman"/>
          <w:sz w:val="24"/>
          <w:szCs w:val="24"/>
        </w:rPr>
        <w:t xml:space="preserve">održavanje zgrade i prostorija, osiguranje, članarine i ostali rashodi i iz</w:t>
      </w:r>
      <w:r>
        <w:rPr>
          <w:rFonts w:ascii="Times New Roman" w:hAnsi="Times New Roman" w:cs="Times New Roman"/>
          <w:sz w:val="24"/>
          <w:szCs w:val="24"/>
        </w:rPr>
        <w:t xml:space="preserve">daci povezani s redovnim radom š</w:t>
      </w:r>
      <w:r>
        <w:rPr>
          <w:rFonts w:ascii="Times New Roman" w:hAnsi="Times New Roman" w:cs="Times New Roman"/>
          <w:sz w:val="24"/>
          <w:szCs w:val="24"/>
        </w:rPr>
        <w:t xml:space="preserve">kole.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pomoću ovih </w:t>
      </w:r>
      <w:r>
        <w:rPr>
          <w:rFonts w:ascii="Times New Roman" w:hAnsi="Times New Roman" w:cs="Times New Roman"/>
          <w:sz w:val="24"/>
          <w:szCs w:val="24"/>
        </w:rPr>
        <w:t xml:space="preserve">aktivnosti</w:t>
      </w:r>
      <w:r>
        <w:rPr>
          <w:rFonts w:ascii="Times New Roman" w:hAnsi="Times New Roman" w:cs="Times New Roman"/>
          <w:sz w:val="24"/>
          <w:szCs w:val="24"/>
        </w:rPr>
        <w:t xml:space="preserve">, ostvaruju se i dugoročni ciljevi kao što su poboljšavanje u</w:t>
      </w:r>
      <w:r>
        <w:rPr>
          <w:rFonts w:ascii="Times New Roman" w:hAnsi="Times New Roman" w:cs="Times New Roman"/>
          <w:sz w:val="24"/>
          <w:szCs w:val="24"/>
        </w:rPr>
        <w:t xml:space="preserve">vjeta rada u školskom prostoru</w:t>
      </w:r>
      <w:r>
        <w:rPr>
          <w:rFonts w:ascii="Times New Roman" w:hAnsi="Times New Roman" w:cs="Times New Roman"/>
          <w:sz w:val="24"/>
          <w:szCs w:val="24"/>
        </w:rPr>
        <w:t xml:space="preserve">, organiziranje učeničkih izleta, ekskurzija, natjecanja te ostalih izvannastavnih športskih i kulturnih manifestacija.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ADMINISTRACIJA I UPRAVALJANJE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rPr>
          <w:cantSplit/>
        </w:trPr>
        <w:tc>
          <w:tcPr>
            <w:tcW w:type="dxa" w:w="1812"/>
            <w:tcBorders/>
            <w:shd w:fill="BFBFBF" w:color="auto" w:val="clear"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Program</w:t>
            </w:r>
          </w:p>
        </w:tc>
        <w:tc>
          <w:tcPr>
            <w:tcW w:type="dxa" w:w="1812"/>
            <w:tcBorders/>
            <w:shd w:fill="BFBFBF" w:color="auto" w:val="clear"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Aktivnost</w:t>
            </w:r>
          </w:p>
        </w:tc>
        <w:tc>
          <w:tcPr>
            <w:tcW w:type="dxa" w:w="1812"/>
            <w:tcBorders/>
            <w:shd w:fill="BFBFBF" w:color="auto" w:val="clear"/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Planirano</w:t>
            </w:r>
          </w:p>
        </w:tc>
        <w:tc>
          <w:tcPr>
            <w:tcW w:type="dxa" w:w="1813"/>
            <w:tcBorders/>
            <w:shd w:fill="BFBFBF" w:color="auto" w:val="clear"/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Izvršenje plana 2026</w:t>
            </w:r>
          </w:p>
        </w:tc>
        <w:tc>
          <w:tcPr>
            <w:tcW w:type="dxa" w:w="1813"/>
            <w:tcBorders/>
            <w:shd w:fill="BFBFBF" w:color="auto" w:val="clear"/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izvršenja plana 2026</w:t>
            </w:r>
          </w:p>
        </w:tc>
      </w:tr>
      <w:tr>
        <w:trPr/>
        <w:tc>
          <w:tcPr>
            <w:tcW w:type="dxa" w:w="1812"/>
            <w:tcBorders/>
            <w:vAlign w:val="bottom"/>
          </w:tcPr>
          <w:p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2204</w:t>
            </w:r>
          </w:p>
        </w:tc>
        <w:tc>
          <w:tcPr>
            <w:tcW w:type="dxa" w:w="1812"/>
            <w:tcBorders/>
            <w:vAlign w:val="bottom"/>
          </w:tcPr>
          <w:p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A2204 – 07</w:t>
            </w:r>
          </w:p>
        </w:tc>
        <w:tc>
          <w:tcPr>
            <w:tcW w:type="dxa" w:w="1812"/>
            <w:tcBorders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2.280.000,00</w:t>
            </w:r>
          </w:p>
        </w:tc>
        <w:tc>
          <w:tcPr>
            <w:tcW w:type="dxa" w:w="1813"/>
            <w:tcBorders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1.087.052,34</w:t>
            </w:r>
          </w:p>
        </w:tc>
        <w:tc>
          <w:tcPr>
            <w:tcW w:type="dxa" w:w="1813"/>
            <w:tcBorders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47.,63</w:t>
            </w:r>
          </w:p>
        </w:tc>
      </w:tr>
    </w:tbl>
    <w:p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</w:t>
      </w:r>
      <w:r>
        <w:rPr>
          <w:rFonts w:ascii="Times New Roman" w:hAnsi="Times New Roman" w:cs="Times New Roman"/>
          <w:sz w:val="24"/>
          <w:szCs w:val="24"/>
        </w:rPr>
        <w:t xml:space="preserve">aktivnost</w:t>
      </w:r>
      <w:r>
        <w:rPr>
          <w:rFonts w:ascii="Times New Roman" w:hAnsi="Times New Roman" w:cs="Times New Roman"/>
          <w:sz w:val="24"/>
          <w:szCs w:val="24"/>
        </w:rPr>
        <w:t xml:space="preserve"> Administracija i upravljanje nalaze se sredstva za podmir</w:t>
      </w:r>
      <w:r>
        <w:rPr>
          <w:rFonts w:ascii="Times New Roman" w:hAnsi="Times New Roman" w:cs="Times New Roman"/>
          <w:sz w:val="24"/>
          <w:szCs w:val="24"/>
        </w:rPr>
        <w:t xml:space="preserve">enje rashode plaća zaposlenika š</w:t>
      </w:r>
      <w:r>
        <w:rPr>
          <w:rFonts w:ascii="Times New Roman" w:hAnsi="Times New Roman" w:cs="Times New Roman"/>
          <w:sz w:val="24"/>
          <w:szCs w:val="24"/>
        </w:rPr>
        <w:t xml:space="preserve">kole, doprinosi iz plaće, rashodi za materijalna prava koja zaposlenici imaju prema Kolektivnom ugovoru te naknada za nezapošljavanje osoba s invaliditetom.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2"/>
          <w:numId w:val="25"/>
        </w:num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Program 2205 – srednje školstvo – iznad standarda</w:t>
      </w:r>
    </w:p>
    <w:p>
      <w:pPr>
        <w:pStyle w:val="Odlomakpopisa"/>
        <w:spacing w:after="0"/>
        <w:ind w:left="36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programa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Srednje školstvo – </w:t>
      </w:r>
      <w:r>
        <w:rPr>
          <w:rFonts w:ascii="Times New Roman" w:hAnsi="Times New Roman" w:cs="Times New Roman"/>
          <w:sz w:val="24"/>
          <w:szCs w:val="24"/>
        </w:rPr>
        <w:t xml:space="preserve">iznad </w:t>
      </w:r>
      <w:r>
        <w:rPr>
          <w:rFonts w:ascii="Times New Roman" w:hAnsi="Times New Roman" w:cs="Times New Roman"/>
          <w:sz w:val="24"/>
          <w:szCs w:val="24"/>
        </w:rPr>
        <w:t xml:space="preserve">standard</w:t>
      </w:r>
      <w:r>
        <w:rPr>
          <w:rFonts w:ascii="Times New Roman" w:hAnsi="Times New Roman" w:cs="Times New Roman"/>
          <w:sz w:val="24"/>
          <w:szCs w:val="24"/>
        </w:rPr>
        <w:t xml:space="preserve">a provodi se kroz 3</w:t>
      </w:r>
      <w:r>
        <w:rPr>
          <w:rFonts w:ascii="Times New Roman" w:hAnsi="Times New Roman" w:cs="Times New Roman"/>
          <w:sz w:val="24"/>
          <w:szCs w:val="24"/>
        </w:rPr>
        <w:t xml:space="preserve"> aktivnosti:</w:t>
      </w:r>
    </w:p>
    <w:p>
      <w:pPr>
        <w:pStyle w:val="Odlomakpopisa"/>
        <w:numPr>
          <w:ilvl w:val="0"/>
          <w:numId w:val="24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A2205-12 Podizanje kvalitete i standarda u školstvu</w:t>
      </w:r>
    </w:p>
    <w:p>
      <w:pPr>
        <w:pStyle w:val="Odlomakpopisa"/>
        <w:numPr>
          <w:ilvl w:val="0"/>
          <w:numId w:val="24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A220</w:t>
      </w:r>
      <w:r>
        <w:rPr>
          <w:rFonts w:ascii="Times New Roman" w:hAnsi="Times New Roman" w:cs="Times New Roman"/>
          <w:sz w:val="24"/>
          <w:szCs w:val="24"/>
        </w:rPr>
        <w:t xml:space="preserve">5-34 Projekt e-škole</w:t>
      </w:r>
    </w:p>
    <w:p>
      <w:pPr>
        <w:pStyle w:val="Odlomakpopisa"/>
        <w:numPr>
          <w:ilvl w:val="0"/>
          <w:numId w:val="24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A2205-37 Zalihe menstrualnih higijenskih potrepština</w:t>
      </w:r>
    </w:p>
    <w:p>
      <w:pPr>
        <w:pStyle w:val="Odlomakpopisa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PODIZANJE KV</w:t>
      </w:r>
      <w:r>
        <w:rPr>
          <w:rFonts w:ascii="Times New Roman" w:hAnsi="Times New Roman" w:cs="Times New Roman"/>
          <w:b/>
          <w:sz w:val="20"/>
          <w:szCs w:val="20"/>
        </w:rPr>
        <w:t xml:space="preserve">ALITETE I STANDARDA U ŠKOLSTVU, </w:t>
      </w:r>
      <w:r>
        <w:rPr>
          <w:rFonts w:ascii="Times New Roman" w:hAnsi="Times New Roman" w:cs="Times New Roman"/>
          <w:b/>
          <w:sz w:val="20"/>
          <w:szCs w:val="20"/>
        </w:rPr>
        <w:t xml:space="preserve">PROJEKT E-ŠKOLE,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ZALIHE MENSTRUALNIH HIGIJENSKIH POTREPŠTINA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rPr>
          <w:cantSplit/>
        </w:trPr>
        <w:tc>
          <w:tcPr>
            <w:tcW w:type="dxa" w:w="1812"/>
            <w:tcBorders/>
            <w:shd w:fill="BFBFBF" w:color="auto" w:val="clear"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Program</w:t>
            </w:r>
          </w:p>
        </w:tc>
        <w:tc>
          <w:tcPr>
            <w:tcW w:type="dxa" w:w="1812"/>
            <w:tcBorders/>
            <w:shd w:fill="BFBFBF" w:color="auto" w:val="clear"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Aktivnost</w:t>
            </w:r>
          </w:p>
        </w:tc>
        <w:tc>
          <w:tcPr>
            <w:tcW w:type="dxa" w:w="1812"/>
            <w:tcBorders/>
            <w:shd w:fill="BFBFBF" w:color="auto" w:val="clear"/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Planirano</w:t>
            </w:r>
          </w:p>
        </w:tc>
        <w:tc>
          <w:tcPr>
            <w:tcW w:type="dxa" w:w="1813"/>
            <w:tcBorders/>
            <w:shd w:fill="BFBFBF" w:color="auto" w:val="clear"/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Izvršenje plana 2026</w:t>
            </w:r>
          </w:p>
        </w:tc>
        <w:tc>
          <w:tcPr>
            <w:tcW w:type="dxa" w:w="1813"/>
            <w:tcBorders/>
            <w:shd w:fill="BFBFBF" w:color="auto" w:val="clear"/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izvršenja plana 2026</w:t>
            </w:r>
          </w:p>
        </w:tc>
      </w:tr>
      <w:tr>
        <w:trPr/>
        <w:tc>
          <w:tcPr>
            <w:tcW w:type="dxa" w:w="1812"/>
            <w:tcBorders/>
            <w:vAlign w:val="center"/>
          </w:tcPr>
          <w:p>
            <w:pPr>
              <w:spacing w:before="24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2205</w:t>
            </w:r>
          </w:p>
        </w:tc>
        <w:tc>
          <w:tcPr>
            <w:tcW w:type="dxa" w:w="1812"/>
            <w:tcBorders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A2205 – 12</w:t>
            </w:r>
          </w:p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A2205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</w:t>
            </w:r>
          </w:p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A2205 – 37 </w:t>
            </w:r>
          </w:p>
        </w:tc>
        <w:tc>
          <w:tcPr>
            <w:tcW w:type="dxa" w:w="1812"/>
            <w:tcBorders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70.035,02</w:t>
            </w:r>
          </w:p>
        </w:tc>
        <w:tc>
          <w:tcPr>
            <w:tcW w:type="dxa" w:w="1813"/>
            <w:tcBorders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47.533,62</w:t>
            </w:r>
          </w:p>
        </w:tc>
        <w:tc>
          <w:tcPr>
            <w:tcW w:type="dxa" w:w="1813"/>
            <w:tcBorders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67,87</w:t>
            </w:r>
          </w:p>
        </w:tc>
      </w:tr>
    </w:tbl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program</w:t>
      </w:r>
      <w:r>
        <w:rPr>
          <w:rFonts w:ascii="Times New Roman" w:hAnsi="Times New Roman" w:cs="Times New Roman"/>
          <w:sz w:val="24"/>
          <w:szCs w:val="24"/>
        </w:rPr>
        <w:t xml:space="preserve">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srednje školstvo – iznad standard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nalaze se </w:t>
      </w:r>
      <w:r>
        <w:rPr>
          <w:rFonts w:ascii="Times New Roman" w:hAnsi="Times New Roman" w:cs="Times New Roman"/>
          <w:sz w:val="24"/>
          <w:szCs w:val="24"/>
        </w:rPr>
        <w:t xml:space="preserve">sredstva za podmirenje rashoda </w:t>
      </w:r>
      <w:r>
        <w:rPr>
          <w:rFonts w:ascii="Times New Roman" w:hAnsi="Times New Roman" w:cs="Times New Roman"/>
          <w:sz w:val="24"/>
          <w:szCs w:val="24"/>
        </w:rPr>
        <w:t xml:space="preserve">za aktivnosti </w:t>
      </w:r>
      <w:r>
        <w:rPr>
          <w:rFonts w:ascii="Times New Roman" w:hAnsi="Times New Roman" w:cs="Times New Roman"/>
          <w:sz w:val="24"/>
          <w:szCs w:val="24"/>
        </w:rPr>
        <w:t xml:space="preserve">E-tehničar, </w:t>
      </w:r>
      <w:r>
        <w:rPr>
          <w:rFonts w:ascii="Times New Roman" w:hAnsi="Times New Roman" w:cs="Times New Roman"/>
          <w:sz w:val="24"/>
          <w:szCs w:val="24"/>
        </w:rPr>
        <w:t xml:space="preserve">uredski namještaj </w:t>
      </w:r>
      <w:r>
        <w:rPr>
          <w:rFonts w:ascii="Times New Roman" w:hAnsi="Times New Roman" w:cs="Times New Roman"/>
          <w:sz w:val="24"/>
          <w:szCs w:val="24"/>
        </w:rPr>
        <w:t xml:space="preserve">te kupnje zalihe </w:t>
      </w:r>
      <w:r>
        <w:rPr>
          <w:rFonts w:ascii="Times New Roman" w:hAnsi="Times New Roman" w:cs="Times New Roman"/>
          <w:bCs/>
          <w:sz w:val="24"/>
          <w:szCs w:val="24"/>
        </w:rPr>
        <w:t xml:space="preserve">menstrualnih higijenskih potrepština od </w:t>
      </w:r>
      <w:r>
        <w:rPr>
          <w:rFonts w:ascii="Times New Roman" w:hAnsi="Times New Roman" w:cs="Times New Roman"/>
          <w:sz w:val="24"/>
          <w:szCs w:val="24"/>
        </w:rPr>
        <w:t xml:space="preserve">Ministarstva rada, mirovinskog sustava, obitelji i socijalne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politike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Planirane su tekuće pomoći iz Državnog proračuna, odnosno pomoći iz Ministarstva znano</w:t>
      </w:r>
      <w:r>
        <w:rPr>
          <w:rFonts w:ascii="Times New Roman" w:hAnsi="Times New Roman" w:cs="Times New Roman"/>
          <w:sz w:val="24"/>
          <w:szCs w:val="24"/>
        </w:rPr>
        <w:t xml:space="preserve">sti,</w:t>
      </w:r>
      <w:r>
        <w:rPr>
          <w:rFonts w:ascii="Times New Roman" w:hAnsi="Times New Roman" w:cs="Times New Roman"/>
          <w:sz w:val="24"/>
          <w:szCs w:val="24"/>
        </w:rPr>
        <w:t xml:space="preserve"> obrazovanja</w:t>
      </w:r>
      <w:r>
        <w:rPr>
          <w:rFonts w:ascii="Times New Roman" w:hAnsi="Times New Roman" w:cs="Times New Roman"/>
          <w:sz w:val="24"/>
          <w:szCs w:val="24"/>
        </w:rPr>
        <w:t xml:space="preserve"> i mladih</w:t>
      </w:r>
      <w:r>
        <w:rPr>
          <w:rFonts w:ascii="Times New Roman" w:hAnsi="Times New Roman" w:cs="Times New Roman"/>
          <w:sz w:val="24"/>
          <w:szCs w:val="24"/>
        </w:rPr>
        <w:t xml:space="preserve">, na temelju uplata iz prethodnih godina, a za primjerice besplatne udžbenike učenicima slabijeg </w:t>
      </w:r>
      <w:r>
        <w:rPr>
          <w:rFonts w:ascii="Times New Roman" w:hAnsi="Times New Roman" w:cs="Times New Roman"/>
          <w:sz w:val="24"/>
          <w:szCs w:val="24"/>
        </w:rPr>
        <w:t xml:space="preserve">socio</w:t>
      </w:r>
      <w:r>
        <w:rPr>
          <w:rFonts w:ascii="Times New Roman" w:hAnsi="Times New Roman" w:cs="Times New Roman"/>
          <w:sz w:val="24"/>
          <w:szCs w:val="24"/>
        </w:rPr>
        <w:t xml:space="preserve">-ekonomskog statusa, naknadu za prijevoz učenicima s posebnim potreba, novčana sredstva za opremanje knjižnica (lektire, stručna i nastavna literatura) i drugo.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2"/>
          <w:numId w:val="25"/>
        </w:num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Program 4306 – Nacionalni Eu projekti</w:t>
      </w:r>
    </w:p>
    <w:p>
      <w:pPr>
        <w:pStyle w:val="Odlomakpopisa"/>
        <w:spacing w:after="0"/>
        <w:ind w:left="122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programa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sz w:val="24"/>
          <w:szCs w:val="24"/>
        </w:rPr>
        <w:t xml:space="preserve">Nacionalni EU projekti provodi se kroz 1 projekt:</w:t>
      </w:r>
    </w:p>
    <w:p>
      <w:pPr>
        <w:pStyle w:val="Odlomakpopisa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T4306-03 </w:t>
      </w:r>
      <w:r>
        <w:rPr>
          <w:rFonts w:ascii="Times New Roman" w:hAnsi="Times New Roman" w:cs="Times New Roman"/>
          <w:sz w:val="24"/>
          <w:szCs w:val="24"/>
        </w:rPr>
        <w:t xml:space="preserve">Inkluzija</w:t>
      </w:r>
      <w:r>
        <w:rPr>
          <w:rFonts w:ascii="Times New Roman" w:hAnsi="Times New Roman" w:cs="Times New Roman"/>
          <w:sz w:val="24"/>
          <w:szCs w:val="24"/>
        </w:rPr>
        <w:t xml:space="preserve"> – korak bliže društvu bez prepreka faza V.</w:t>
      </w:r>
    </w:p>
    <w:p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INKLUZIJA – KORAK BLIŽE DRUŠTVU BEZ PREPREKA</w:t>
      </w:r>
      <w:r>
        <w:rPr>
          <w:rFonts w:ascii="Times New Roman" w:hAnsi="Times New Roman" w:cs="Times New Roman"/>
          <w:b/>
          <w:sz w:val="20"/>
          <w:szCs w:val="20"/>
        </w:rPr>
        <w:t xml:space="preserve"> FAZA V.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rPr>
          <w:cantSplit/>
        </w:trPr>
        <w:tc>
          <w:tcPr>
            <w:tcW w:type="dxa" w:w="1812"/>
            <w:tcBorders/>
            <w:shd w:fill="BFBFBF" w:color="auto" w:val="clear"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Program</w:t>
            </w:r>
          </w:p>
        </w:tc>
        <w:tc>
          <w:tcPr>
            <w:tcW w:type="dxa" w:w="1812"/>
            <w:tcBorders/>
            <w:shd w:fill="BFBFBF" w:color="auto" w:val="clear"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Tekući projekt</w:t>
            </w:r>
          </w:p>
        </w:tc>
        <w:tc>
          <w:tcPr>
            <w:tcW w:type="dxa" w:w="1812"/>
            <w:tcBorders/>
            <w:shd w:fill="BFBFBF" w:color="auto" w:val="clear"/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Planirano</w:t>
            </w:r>
          </w:p>
        </w:tc>
        <w:tc>
          <w:tcPr>
            <w:tcW w:type="dxa" w:w="1813"/>
            <w:tcBorders/>
            <w:shd w:fill="BFBFBF" w:color="auto" w:val="clear"/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Izvršenje plana 2026</w:t>
            </w:r>
          </w:p>
        </w:tc>
        <w:tc>
          <w:tcPr>
            <w:tcW w:type="dxa" w:w="1813"/>
            <w:tcBorders/>
            <w:shd w:fill="BFBFBF" w:color="auto" w:val="clear"/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izvršenja plana 2026</w:t>
            </w:r>
          </w:p>
        </w:tc>
      </w:tr>
      <w:tr>
        <w:trPr/>
        <w:tc>
          <w:tcPr>
            <w:tcW w:type="dxa" w:w="1812"/>
            <w:tcBorders/>
            <w:vAlign w:val="bottom"/>
          </w:tcPr>
          <w:p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4306</w:t>
            </w:r>
          </w:p>
        </w:tc>
        <w:tc>
          <w:tcPr>
            <w:tcW w:type="dxa" w:w="1812"/>
            <w:tcBorders/>
            <w:vAlign w:val="bottom"/>
          </w:tcPr>
          <w:p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T4306-03</w:t>
            </w:r>
          </w:p>
        </w:tc>
        <w:tc>
          <w:tcPr>
            <w:tcW w:type="dxa" w:w="1812"/>
            <w:tcBorders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48.293,96</w:t>
            </w:r>
          </w:p>
        </w:tc>
        <w:tc>
          <w:tcPr>
            <w:tcW w:type="dxa" w:w="1813"/>
            <w:tcBorders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41.461,24</w:t>
            </w:r>
          </w:p>
        </w:tc>
        <w:tc>
          <w:tcPr>
            <w:tcW w:type="dxa" w:w="1813"/>
            <w:tcBorders/>
            <w:vAlign w:val="center"/>
          </w:tcPr>
          <w:p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85,85</w:t>
            </w:r>
          </w:p>
        </w:tc>
      </w:tr>
    </w:tbl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Pomoćnici u nastavi </w:t>
      </w:r>
      <w:r>
        <w:rPr>
          <w:rFonts w:ascii="Times New Roman" w:hAnsi="Times New Roman" w:cs="Times New Roman"/>
          <w:sz w:val="24"/>
          <w:szCs w:val="24"/>
        </w:rPr>
        <w:t xml:space="preserve">usmjeren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pružanje potpore uključivanju učenika s teškoćama u razvoju u njima primjerene programe odgoja i obrazovanja u osnovnoškolskim i srednjoškolskim odgojno – obrazovnim ustanovama u cilju ostvarivanja njihove uspješnije soc</w:t>
      </w:r>
      <w:r>
        <w:rPr>
          <w:rFonts w:ascii="Times New Roman" w:hAnsi="Times New Roman" w:cs="Times New Roman"/>
          <w:sz w:val="24"/>
          <w:szCs w:val="24"/>
        </w:rPr>
        <w:t xml:space="preserve">ijalizacije te podizanja razine </w:t>
      </w:r>
      <w:r>
        <w:rPr>
          <w:rFonts w:ascii="Times New Roman" w:hAnsi="Times New Roman" w:cs="Times New Roman"/>
          <w:sz w:val="24"/>
          <w:szCs w:val="24"/>
        </w:rPr>
        <w:t xml:space="preserve">njihovih obrazovnih postignuća i emocionalnog funkcioniranja.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Sredstva za projekt osiguravaju se temeljem specifičnih programskih okvira i financijskih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mehanizama definiranim od strane vanjske Agencije.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Obrazloženje posebnih izvještaja</w:t>
      </w:r>
    </w:p>
    <w:p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Posebni </w:t>
      </w:r>
      <w:r>
        <w:rPr>
          <w:rFonts w:ascii="Times New Roman" w:hAnsi="Times New Roman" w:cs="Times New Roman"/>
          <w:sz w:val="24"/>
          <w:szCs w:val="24"/>
        </w:rPr>
        <w:t xml:space="preserve">izvještaji, sukladno Pravilniku, obuhvaćaju dodatne informacije koje nadopunjuju opći i posebni dio izvještaja o izvršenju financijskog plana. U polugodišnjem izvještaju obvezan je posebni izvještaj o zaduživanju na domaćem i stranom tržištu novca i kapitala, a posebni izvještaji mogu, prema potrebi, sadržavati i izvještaj o danim jamstvima te plaćanjima po protestiranim jamstvima.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Izvještaj o zaduživanju na domaćem i stranom tržištu novca i kapitala: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Financijskim planom </w:t>
      </w:r>
      <w:r>
        <w:rPr>
          <w:rFonts w:ascii="Times New Roman" w:hAnsi="Times New Roman" w:cs="Times New Roman"/>
          <w:sz w:val="24"/>
          <w:szCs w:val="24"/>
        </w:rPr>
        <w:t xml:space="preserve">Hotelijersko – turističke i ugostiteljske škole Zadar za 2026</w:t>
      </w:r>
      <w:r>
        <w:rPr>
          <w:rFonts w:ascii="Times New Roman" w:hAnsi="Times New Roman" w:cs="Times New Roman"/>
          <w:sz w:val="24"/>
          <w:szCs w:val="24"/>
        </w:rPr>
        <w:t xml:space="preserve">. godinu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nisu planirani, ni izvršeni primici od financijske imovine i zaduživanja na domaćem i stranom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tržištu novca i kapitala.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Izvještaj o danim jamstvima i plaćanjima po protestiranim jamstvima: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izvještajnom razdoblju</w:t>
      </w:r>
      <w:r>
        <w:rPr>
          <w:rFonts w:ascii="Times New Roman" w:hAnsi="Times New Roman" w:cs="Times New Roman"/>
          <w:sz w:val="24"/>
          <w:szCs w:val="24"/>
        </w:rPr>
        <w:t xml:space="preserve"> škola nije imala danih</w:t>
      </w:r>
      <w:r>
        <w:rPr>
          <w:rFonts w:ascii="Times New Roman" w:hAnsi="Times New Roman" w:cs="Times New Roman"/>
          <w:sz w:val="24"/>
          <w:szCs w:val="24"/>
        </w:rPr>
        <w:t xml:space="preserve"> jamstva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plaćanja po protestiranim jamstvima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</w:t>
      </w:r>
      <w:r>
        <w:rPr>
          <w:rFonts w:ascii="Times New Roman" w:hAnsi="Times New Roman" w:cs="Times New Roman"/>
          <w:sz w:val="24"/>
          <w:szCs w:val="24"/>
        </w:rPr>
        <w:t xml:space="preserve">kola će i dalje odgovorno, zakonito, namjenski, transparentno i svrhovito koristiti proračunska sredstva, kroz pravilno planiranje i kontrolu izvršavanja financijskog plana, a zbog teškog stanja u gospodarstvu nastavit će se mjere racionalizacije i štednje na svim stavkama plana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Ravnateljica:</w:t>
      </w:r>
    </w:p>
    <w:p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Diana Radić Škara, prof.</w:t>
      </w:r>
      <w:bookmarkStart w:id="3" w:name="_GoBack"/>
      <w:bookmarkEnd w:id="3"/>
    </w:p>
    <w:sectPr>
      <w:type w:val="nextPage"/>
      <w:pgSz w:w="11906" w:h="16838"/>
      <w:pgMar w:top="1417" w:right="1417" w:bottom="1276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alibri">
    <w:charset w:val="238"/>
    <w:family w:val="swiss"/>
    <w:pitch w:val="variable"/>
    <w:sig w:usb0="E4002EFF" w:usb1="C200247B" w:usb2="00000009" w:usb3="00000000" w:csb0="000001FF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E4255"/>
    <w:lvl w:ilvl="0">
      <w:start w:val="1"/>
      <w:numFmt w:val="decimal"/>
      <w:suff w:val="tab"/>
      <w:lvlText w:val="3.%1."/>
      <w:pPr>
        <w:spacing/>
        <w:ind w:left="360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432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5040" w:hanging="180"/>
      </w:pPr>
      <w:rPr/>
    </w:lvl>
    <w:lvl w:ilvl="3">
      <w:start w:val="1"/>
      <w:numFmt w:val="decimal"/>
      <w:suff w:val="tab"/>
      <w:lvlText w:val="%4."/>
      <w:pPr>
        <w:spacing/>
        <w:ind w:left="5760" w:hanging="360"/>
      </w:pPr>
      <w:rPr/>
    </w:lvl>
    <w:lvl w:ilvl="4">
      <w:start w:val="1"/>
      <w:numFmt w:val="lowerLetter"/>
      <w:suff w:val="tab"/>
      <w:lvlText w:val="%5."/>
      <w:pPr>
        <w:spacing/>
        <w:ind w:left="648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7200" w:hanging="180"/>
      </w:pPr>
      <w:rPr/>
    </w:lvl>
    <w:lvl w:ilvl="6">
      <w:start w:val="1"/>
      <w:numFmt w:val="decimal"/>
      <w:suff w:val="tab"/>
      <w:lvlText w:val="%7."/>
      <w:pPr>
        <w:spacing/>
        <w:ind w:left="7920" w:hanging="360"/>
      </w:pPr>
      <w:rPr/>
    </w:lvl>
    <w:lvl w:ilvl="7">
      <w:start w:val="1"/>
      <w:numFmt w:val="lowerLetter"/>
      <w:suff w:val="tab"/>
      <w:lvlText w:val="%8."/>
      <w:pPr>
        <w:spacing/>
        <w:ind w:left="864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9360" w:hanging="180"/>
      </w:pPr>
      <w:rPr/>
    </w:lvl>
  </w:abstractNum>
  <w:abstractNum w:abstractNumId="1">
    <w:nsid w:val="02011834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2">
    <w:nsid w:val="09052E29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">
    <w:nsid w:val="0AF50C12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4">
    <w:nsid w:val="0D133230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5">
    <w:nsid w:val="0F276B27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6">
    <w:nsid w:val="102C1A26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pPr>
        <w:spacing/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pPr>
        <w:spacing/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pPr>
        <w:spacing/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pPr>
        <w:spacing/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pPr>
        <w:spacing/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pPr>
        <w:spacing/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pPr>
        <w:spacing/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pPr>
        <w:spacing/>
        <w:ind w:left="2160" w:hanging="1800"/>
      </w:pPr>
      <w:rPr>
        <w:rFonts w:hint="default"/>
      </w:rPr>
    </w:lvl>
  </w:abstractNum>
  <w:abstractNum w:abstractNumId="7">
    <w:nsid w:val="10536EF3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8">
    <w:nsid w:val="23D67053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9">
    <w:nsid w:val="27C55BEC"/>
    <w:lvl w:ilvl="0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suff w:val="tab"/>
      <w:lvlText w:val="o"/>
      <w:pPr>
        <w:spacing/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8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60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04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76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200" w:hanging="360"/>
      </w:pPr>
      <w:rPr>
        <w:rFonts w:ascii="Wingdings" w:hAnsi="Wingdings" w:hint="default"/>
      </w:rPr>
    </w:lvl>
  </w:abstractNum>
  <w:abstractNum w:abstractNumId="10">
    <w:nsid w:val="2AB10479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11">
    <w:nsid w:val="38596D46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2">
    <w:nsid w:val="432114FD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13">
    <w:nsid w:val="4A573E06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4">
    <w:nsid w:val="51B2652E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15">
    <w:nsid w:val="54E34A71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16">
    <w:nsid w:val="56327EE0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7">
    <w:nsid w:val="57023F84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8">
    <w:nsid w:val="5D507F1D"/>
    <w:lvl w:ilvl="0">
      <w:start w:val="1"/>
      <w:numFmt w:val="decimal"/>
      <w:suff w:val="tab"/>
      <w:lvlText w:val="3.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9">
    <w:nsid w:val="5F3C3F21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20">
    <w:nsid w:val="60333DFB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1">
    <w:nsid w:val="629B2E5D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2">
    <w:nsid w:val="64D17381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3">
    <w:nsid w:val="71E07F96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4">
    <w:nsid w:val="756F04E0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b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25">
    <w:nsid w:val="761C594F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26">
    <w:nsid w:val="79F911B4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27">
    <w:nsid w:val="7F4D0885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00" w:line="276" w:lineRule="auto"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Tekstrezerviranogmjesta" w:customStyle="1">
    <w:name w:val="Placeholder Text"/>
    <w:basedOn w:val="Zadanifontodlomka"/>
    <w:uiPriority w:val="99"/>
    <w:semiHidden/>
    <w:rPr>
      <w:color w:val="808080"/>
    </w:rPr>
  </w:style>
</w:styles>
</file>

<file path=word/_rels/document.xml.rels>&#65279;<?xml version="1.0" encoding="utf-8" standalone="yes"?><Relationships xmlns="http://schemas.openxmlformats.org/package/2006/relationships"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fontTable" Target="fontTable.xml" /><Relationship Id="rId1" Type="http://schemas.openxmlformats.org/officeDocument/2006/relationships/image" Target="media/image1.wmf" /><Relationship Id="rId3" Type="http://schemas.openxmlformats.org/officeDocument/2006/relationships/image" Target="media/image2.png" /><Relationship Id="rId2" Type="http://schemas.openxmlformats.org/officeDocument/2006/relationships/oleObject" Target="embeddings/oleObject3.bin" /><Relationship Id="rId9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CD185-068A-4E9A-9393-F6CA4E771E6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2424</TotalTime>
  <Pages>7</Pages>
  <Words>2435</Words>
  <Characters>13886</Characters>
  <Application>Microsoft Office Word</Application>
  <DocSecurity>0</DocSecurity>
  <Lines>115</Lines>
  <Paragraphs>32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Racunovodja</dc:creator>
  <cp:keywords/>
  <dc:description/>
  <cp:lastModifiedBy>Racunovodja</cp:lastModifiedBy>
  <cp:lastPrinted>2026-03-17T11:47:00Z</cp:lastPrinted>
  <cp:revision>111</cp:revision>
  <dcterms:created xsi:type="dcterms:W3CDTF">2024-03-25T10:21:00Z</dcterms:created>
  <dcterms:modified xsi:type="dcterms:W3CDTF">2026-07-23T06:55:00Z</dcterms:modified>
</cp:coreProperties>
</file>