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>
          <w:trHeight w:val="2828" w:hRule="atLeast"/>
        </w:trPr>
        <w:tc>
          <w:tcPr>
            <w:tcW w:type="dxa" w:w="6379"/>
            <w:tcBorders/>
          </w:tcPr>
          <w:p>
            <w:pPr>
              <w:widowControl w:val="false"/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>
                <v:shape id="_x0000_i1025" type="#_x0000_t75" style="margin-left:0pt;margin-top:0pt;width:153pt;height:42.75pt;mso-position-horizontal-relative:margin;mso-position-vertical-relative:margin;visibility:visible" o:ole="" o:bordertopcolor="#000000" o:borderleftcolor="#000000" o:borderbottomcolor="#000000" o:borderrightcolor="#000000">
                  <v:imagedata r:id="rId1" o:title=""/>
                </v:shape>
                <o:OLEObject Type="Embed" ProgID="Word.Picture.8" ShapeID="_x0000_i1025" DrawAspect="Content" r:id="rId2" ObjectID="_1850377212"/>
              </w:object>
            </w:r>
          </w:p>
          <w:p>
            <w:pPr>
              <w:widowControl w:val="false"/>
              <w:autoSpaceDE w:val="false"/>
              <w:autoSpaceDN w:val="false"/>
              <w:adjustRightInd w:val="false"/>
              <w: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HOTELIJERSKO-TURISTIČKA I</w:t>
            </w:r>
          </w:p>
          <w:p>
            <w:pPr>
              <w:widowControl w:val="false"/>
              <w:tabs>
                <w:tab w:val="left" w:pos="8340"/>
              </w:tabs>
              <w:autoSpaceDE w:val="false"/>
              <w:autoSpaceDN w:val="false"/>
              <w:adjustRightInd w:val="false"/>
              <w:spacing w:line="240" w:lineRule="atLeast"/>
              <w:ind w:left="11" w:hanging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UGOSTITELJSKA ŠKOLA - ZADAR</w:t>
            </w:r>
          </w:p>
          <w:p>
            <w:pPr>
              <w:widowControl w:val="false"/>
              <w:autoSpaceDE w:val="false"/>
              <w:autoSpaceDN w:val="false"/>
              <w:adjustRightInd w:val="false"/>
              <w:spacing w:line="240" w:lineRule="atLeast"/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Antuna Gustava Matoša 40, 23000 Zadar</w:t>
            </w:r>
          </w:p>
          <w:p>
            <w:pPr>
              <w:widowControl w:val="false"/>
              <w:autoSpaceDE w:val="false"/>
              <w:autoSpaceDN w:val="false"/>
              <w:adjustRightInd w:val="false"/>
              <w: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Tel: 023 335 295 E-mail: </w:t>
            </w:r>
            <w:r>
              <w:rPr/>
              <w:fldChar w:fldCharType="begin"/>
            </w:r>
            <w:r>
              <w:rPr/>
              <w:instrText xml:space="preserve">HYPERLINK "mailto:htus@htus.htnet.hr" </w:instrText>
            </w:r>
            <w:r>
              <w:rPr/>
              <w:fldChar w:fldCharType="separate"/>
            </w:r>
            <w:r>
              <w:rPr>
                <w:rStyle w:val="Hiperveza"/>
                <w:rFonts w:ascii="Times New Roman" w:hAnsi="Times New Roman" w:cs="Times New Roman"/>
                <w:sz w:val="20"/>
                <w:szCs w:val="20"/>
              </w:rPr>
              <w:t xml:space="preserve">htus@htus.htnet.hr</w:t>
            </w:r>
            <w:r>
              <w:rPr/>
              <w:fldChar w:fldCharType="end"/>
            </w:r>
          </w:p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KLASA:      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400-02/26-01/4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    </w:t>
            </w:r>
            <w:r>
              <w:rPr>
                <w:rFonts w:ascii="Times New Roman" w:hAnsi="Times New Roman" w:cs="Times New Roman"/>
                <w:noProof/>
              </w:rPr>
              <w:t xml:space="preserve">2198-1-61-26-1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</w:p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Zadar, </w:t>
            </w:r>
            <w:r>
              <w:rPr>
                <w:rFonts w:ascii="Times New Roman" w:hAnsi="Times New Roman" w:cs="Times New Roman"/>
              </w:rPr>
              <w:t xml:space="preserve">9. rujna 2026</w:t>
            </w:r>
            <w:r>
              <w:rPr>
                <w:rFonts w:ascii="Times New Roman" w:hAnsi="Times New Roman" w:cs="Times New Roman"/>
              </w:rPr>
              <w:t xml:space="preserve">. godine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1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ind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ind w:left="-709" w:right="-567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PREDMET:</w:t>
      </w:r>
    </w:p>
    <w:p>
      <w:pPr>
        <w:spacing w:after="0"/>
        <w:ind w:left="-709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Obrazloženje prijedloga izmjena i dopuna financijskog plana</w:t>
      </w:r>
    </w:p>
    <w:p>
      <w:pPr>
        <w:spacing w:after="0"/>
        <w:ind w:left="-709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 2026</w:t>
      </w:r>
      <w:r>
        <w:rPr>
          <w:rFonts w:ascii="Times New Roman" w:hAnsi="Times New Roman" w:cs="Times New Roman"/>
          <w:b/>
          <w:sz w:val="28"/>
          <w:szCs w:val="28"/>
        </w:rPr>
        <w:t xml:space="preserve">. – Rebalans 1</w:t>
      </w:r>
    </w:p>
    <w:p>
      <w:pPr>
        <w:spacing w:after="0"/>
        <w:ind w:left="-709" w:right="-567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OSNOVNI PODACI O ŠKOLI</w:t>
      </w: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Hotelijersko – turistička i ugostiteljska škola Zadar je javna ustanova srednjeg odgoja i obrazovanja. Osnivač je Zadarska županija (Rješenje Ministarstva prosvjete i športa, KLASA: 602-03/92-01-769, URBROJ: 532-02-6/3-93-01, od 8. veljače 1993. godine).</w:t>
      </w:r>
    </w:p>
    <w:p>
      <w:pPr>
        <w: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Škola djeluje u zgradi izgrađenoj 1972. godine, smještenoj izvan grada pa većina učenika putuje javnim gradskim ili međugradskim prijevozom. Prostor se dijeli s Ekonomskom- birotehničkom i trgovačkom školom Zadar </w:t>
      </w:r>
      <w:r>
        <w:rPr>
          <w:rFonts w:ascii="Times New Roman" w:hAnsi="Times New Roman" w:cs="Times New Roman"/>
          <w:sz w:val="24"/>
          <w:szCs w:val="24"/>
        </w:rPr>
        <w:t xml:space="preserve">te raspolaže sa 15 specijaliziranih učionica, 5 praktikuma s garderobama, 9 kabineta, dvorane za tjelesni odgoj, vanjskim igralištem i knjižnicom.</w:t>
      </w: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Škola obrazuje učenike za zanimanja: kuhar, konobar, slastičar, turističko- hotelijerski komercijalist, hotelijersko- turistički tehničar, pomoćni kuhar i slastičar (učenici s teškoćama u razvoju), pomoćni konobar (učenici s teškoćama u razvoju).</w:t>
      </w: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pStyle w:val="Odlomakpopisa"/>
        <w:numPr>
          <w:ilvl w:val="0"/>
          <w:numId w:val="5"/>
        </w:numPr>
        <w:spacing w:after="0"/>
        <w:ind w:right="-142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OBRAZLOŽENJE REBALANSA 1 ZA 2026. GODINU</w:t>
      </w:r>
    </w:p>
    <w:p>
      <w:pPr>
        <w:pStyle w:val="Odlomakpopisa"/>
        <w:spacing w:after="0"/>
        <w:ind w:right="-142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spacing/>
        <w:ind w:right="-14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 skladu s čl. 45. i 46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Zakona o proračunu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NN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144/21),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Pravilnik o planiranju u sustavu proračuna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(NN 1/24),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Zakona o fiskalnoj odgovornosti (NN 111/18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83/23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 Uputama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osnivača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za izradu prijedloga Izmjena i dopuna proračuna i financijskih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planova upravnih tijela, proračunskih i izvanproračunskih korisnika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te nizom drugih propisa koji uređuju područje stjecanja i raspoređivanja proračunskih sredstava (Pravilnik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 proračunskom računovodstvu i 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ačunskom planu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NN 158/23 i 154/24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Pravilnik o proračunskim klasifikacijama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(NN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4/24 i 122/25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donesene su izmjene i dopune financijskog plana proračunskog korisnika za 2026. godinu – Rebalans 1.</w:t>
      </w:r>
    </w:p>
    <w:p>
      <w:pPr>
        <w:spacing/>
        <w:ind w:right="-14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Prve izmjene i dopune Financijskog plana Hotelijersko – turističke i ugostiteljske škole Zadar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sastoje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se od općeg i posebnog dijela.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Svi prihodi i primici kao i rashodi i izdaci utvrđeni ovim rebalansom su uravnoteženi.</w:t>
      </w:r>
    </w:p>
    <w:p>
      <w:pPr>
        <w: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Ravnatelj škole odgovoran je za zakonito i pravilno planiranje i izvršavanje financijskog plana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OPĆI DIO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REBALANSA 1</w:t>
      </w:r>
    </w:p>
    <w:p>
      <w:pPr>
        <w:pStyle w:val="Odlomakpopisa"/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 dio sastoji se od sažetka računa prihoda i rashoda, prihoda i rashoda iskazanih prema ekonomskoj klasifikaciji i prema izvorima financiranja i rashoda iskazanih prema funkcijskoj klasifikaciji.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PRIHODI POSLOVANJA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u Rebalansu 1 planirani su u iznosu od </w:t>
      </w:r>
      <w:r>
        <w:rPr>
          <w:rFonts w:ascii="Times New Roman" w:hAnsi="Times New Roman" w:cs="Times New Roman"/>
          <w:sz w:val="24"/>
          <w:szCs w:val="24"/>
        </w:rPr>
        <w:t xml:space="preserve">2.530.365,71</w:t>
      </w:r>
      <w:r>
        <w:rPr>
          <w:rFonts w:ascii="Times New Roman" w:hAnsi="Times New Roman" w:cs="Times New Roman"/>
          <w:sz w:val="24"/>
          <w:szCs w:val="24"/>
        </w:rPr>
        <w:t xml:space="preserve"> eura što je povećanje za </w:t>
      </w:r>
      <w:r>
        <w:rPr>
          <w:rFonts w:ascii="Times New Roman" w:hAnsi="Times New Roman" w:cs="Times New Roman"/>
          <w:sz w:val="24"/>
          <w:szCs w:val="24"/>
        </w:rPr>
        <w:t xml:space="preserve">11.186,74</w:t>
      </w:r>
      <w:r>
        <w:rPr>
          <w:rFonts w:ascii="Times New Roman" w:hAnsi="Times New Roman" w:cs="Times New Roman"/>
          <w:sz w:val="24"/>
          <w:szCs w:val="24"/>
        </w:rPr>
        <w:t xml:space="preserve"> eura u odnosu na izvorni plan za 2026. godinu.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106"/>
        <w:gridCol w:w="2478"/>
        <w:gridCol w:w="2478"/>
      </w:tblGrid>
      <w:tr>
        <w:trPr/>
        <w:tc>
          <w:tcPr>
            <w:tcW w:type="dxa" w:w="4106"/>
            <w:tcBorders/>
            <w:shd w:fill="D9D9D9" w:color="auto" w:val="clear"/>
            <w:vAlign w:val="center"/>
          </w:tcPr>
          <w:p>
            <w:pPr>
              <w: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Prihodi/ primici</w:t>
            </w:r>
          </w:p>
        </w:tc>
        <w:tc>
          <w:tcPr>
            <w:tcW w:type="dxa" w:w="2478"/>
            <w:tcBorders/>
            <w:shd w:fill="D9D9D9" w:color="auto" w:val="clear"/>
            <w:vAlign w:val="center"/>
          </w:tcPr>
          <w:p>
            <w:pPr>
              <w: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 za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godinu</w:t>
            </w:r>
          </w:p>
        </w:tc>
        <w:tc>
          <w:tcPr>
            <w:tcW w:type="dxa" w:w="2478"/>
            <w:tcBorders/>
            <w:shd w:fill="D9D9D9" w:color="auto" w:val="clear"/>
            <w:vAlign w:val="center"/>
          </w:tcPr>
          <w:p>
            <w:pPr>
              <w: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Prijedlog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novog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plana za 2026. godinu</w:t>
            </w:r>
          </w:p>
        </w:tc>
      </w:tr>
      <w:tr>
        <w:trPr/>
        <w:tc>
          <w:tcPr>
            <w:tcW w:type="dxa" w:w="4106"/>
            <w:tcBorders/>
            <w:vAlign w:val="bottom"/>
          </w:tcPr>
          <w:p>
            <w:pPr>
              <w: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Prihodi ukupno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2.519.178,97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2.530.365,71</w:t>
            </w:r>
          </w:p>
        </w:tc>
      </w:tr>
      <w:tr>
        <w:trPr/>
        <w:tc>
          <w:tcPr>
            <w:tcW w:type="dxa" w:w="4106"/>
            <w:tcBorders/>
            <w:vAlign w:val="bottom"/>
          </w:tcPr>
          <w:p>
            <w:pPr>
              <w: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 – Pomoći iz inozemstva i od subjekata unutar općeg proračuna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2.308.200,00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2.322.520,00</w:t>
            </w:r>
          </w:p>
        </w:tc>
      </w:tr>
      <w:tr>
        <w:trPr/>
        <w:tc>
          <w:tcPr>
            <w:tcW w:type="dxa" w:w="4106"/>
            <w:tcBorders/>
            <w:vAlign w:val="bottom"/>
          </w:tcPr>
          <w:p>
            <w:pPr>
              <w: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– Prihodi od upravnih i administrativnih pristojbi, pristojbi po posebnim propisima i naknadama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2.000,00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2.500,00</w:t>
            </w:r>
          </w:p>
        </w:tc>
      </w:tr>
      <w:tr>
        <w:trPr/>
        <w:tc>
          <w:tcPr>
            <w:tcW w:type="dxa" w:w="4106"/>
            <w:tcBorders/>
            <w:vAlign w:val="bottom"/>
          </w:tcPr>
          <w:p>
            <w:pPr>
              <w: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– Prihodi od prodaje proizvoda i robe te pruženih usluga, prihodi od donacija te povrati po protestiranim jamstvima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15.000,00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14.500,00</w:t>
            </w:r>
          </w:p>
        </w:tc>
      </w:tr>
      <w:tr>
        <w:trPr/>
        <w:tc>
          <w:tcPr>
            <w:tcW w:type="dxa" w:w="4106"/>
            <w:tcBorders/>
            <w:vAlign w:val="bottom"/>
          </w:tcPr>
          <w:p>
            <w:pPr>
              <w: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– Prihodi iz nadležnog proračuna i od HZZO-a temeljem ugovornih obveza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193.978,97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190.845,71</w:t>
            </w: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tablici je prikazano povećanje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prihodima 63 iz kojeg se podmiruju plaće i ostali rashodi za zaposlene iz sredstava Ministarstva znanosti, obrazovanja i mladih. Također se iz tih prihoda financira nabava knjiga za knjižnicu i prijevoz djece s posebnim potrebama.</w:t>
      </w:r>
    </w:p>
    <w:p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Planirano je</w:t>
      </w:r>
      <w:r>
        <w:rPr>
          <w:rFonts w:ascii="Times New Roman" w:hAnsi="Times New Roman" w:cs="Times New Roman"/>
          <w:sz w:val="24"/>
          <w:szCs w:val="24"/>
        </w:rPr>
        <w:t xml:space="preserve"> povećanje prihoda 65 koji se odnosne na prihode od izdanih duplikata svjedodžbi</w:t>
      </w:r>
    </w:p>
    <w:p>
      <w:pPr>
        <w: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Planirano je </w:t>
      </w:r>
      <w:r>
        <w:rPr>
          <w:rFonts w:ascii="Times New Roman" w:hAnsi="Times New Roman" w:cs="Times New Roman"/>
          <w:sz w:val="24"/>
          <w:szCs w:val="24"/>
        </w:rPr>
        <w:t xml:space="preserve">da se će prihodi 66 od o</w:t>
      </w:r>
      <w:r>
        <w:rPr>
          <w:rFonts w:ascii="Times New Roman" w:hAnsi="Times New Roman" w:cs="Times New Roman"/>
          <w:sz w:val="24"/>
          <w:szCs w:val="24"/>
        </w:rPr>
        <w:t xml:space="preserve">drađenih </w:t>
      </w:r>
      <w:r>
        <w:rPr>
          <w:rFonts w:ascii="Times New Roman" w:hAnsi="Times New Roman" w:cs="Times New Roman"/>
          <w:sz w:val="24"/>
          <w:szCs w:val="24"/>
        </w:rPr>
        <w:t xml:space="preserve">cateringa</w:t>
      </w:r>
      <w:r>
        <w:rPr>
          <w:rFonts w:ascii="Times New Roman" w:hAnsi="Times New Roman" w:cs="Times New Roman"/>
          <w:sz w:val="24"/>
          <w:szCs w:val="24"/>
        </w:rPr>
        <w:t xml:space="preserve"> za razne manifestacije </w:t>
      </w:r>
      <w:r>
        <w:rPr>
          <w:rFonts w:ascii="Times New Roman" w:hAnsi="Times New Roman" w:cs="Times New Roman"/>
          <w:sz w:val="24"/>
          <w:szCs w:val="24"/>
        </w:rPr>
        <w:t xml:space="preserve">ostati na istoj razini kao u izvornom planu, ali će se smanjiti prihodi od donacija.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Planirano je smanjenje prihoda</w:t>
      </w:r>
      <w:r>
        <w:rPr>
          <w:rFonts w:ascii="Times New Roman" w:hAnsi="Times New Roman" w:cs="Times New Roman"/>
          <w:sz w:val="24"/>
          <w:szCs w:val="24"/>
        </w:rPr>
        <w:t xml:space="preserve"> 67 - Prihodi iz nadležnog proračuna, jer je taj iznos</w:t>
      </w:r>
      <w:r>
        <w:rPr>
          <w:rFonts w:ascii="Times New Roman" w:hAnsi="Times New Roman" w:cs="Times New Roman"/>
          <w:sz w:val="24"/>
          <w:szCs w:val="24"/>
        </w:rPr>
        <w:t xml:space="preserve"> određen Uputom za izradu prijedloga </w:t>
      </w:r>
      <w:r>
        <w:rPr>
          <w:rFonts w:ascii="Times New Roman" w:hAnsi="Times New Roman" w:cs="Times New Roman"/>
          <w:sz w:val="24"/>
          <w:szCs w:val="24"/>
        </w:rPr>
        <w:t xml:space="preserve">Izmjena i dopuna proračuna i </w:t>
      </w:r>
      <w:r>
        <w:rPr>
          <w:rFonts w:ascii="Times New Roman" w:hAnsi="Times New Roman" w:cs="Times New Roman"/>
          <w:sz w:val="24"/>
          <w:szCs w:val="24"/>
        </w:rPr>
        <w:t xml:space="preserve">financijskih planova upravnih tijela, proračunskih i iz</w:t>
      </w:r>
      <w:r>
        <w:rPr>
          <w:rFonts w:ascii="Times New Roman" w:hAnsi="Times New Roman" w:cs="Times New Roman"/>
          <w:sz w:val="24"/>
          <w:szCs w:val="24"/>
        </w:rPr>
        <w:t xml:space="preserve">vanproračunskih korisnika. Došlo je do smanjenja decentraliziranih sredstava koja školi osigurava osnivač.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RASHODI POSLOVANJA</w:t>
      </w:r>
    </w:p>
    <w:p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u Rebalansu 1 planiranu su u ukupnom iznosu od </w:t>
      </w:r>
      <w:r>
        <w:rPr>
          <w:rFonts w:ascii="Times New Roman" w:hAnsi="Times New Roman" w:cs="Times New Roman"/>
          <w:sz w:val="24"/>
          <w:szCs w:val="24"/>
        </w:rPr>
        <w:t xml:space="preserve">2.586.278,46</w:t>
      </w:r>
      <w:r>
        <w:rPr>
          <w:rFonts w:ascii="Times New Roman" w:hAnsi="Times New Roman" w:cs="Times New Roman"/>
          <w:sz w:val="24"/>
          <w:szCs w:val="24"/>
        </w:rPr>
        <w:t xml:space="preserve"> eura, što je povećanje za </w:t>
      </w:r>
      <w:r>
        <w:rPr>
          <w:rFonts w:ascii="Times New Roman" w:hAnsi="Times New Roman" w:cs="Times New Roman"/>
          <w:sz w:val="24"/>
          <w:szCs w:val="24"/>
        </w:rPr>
        <w:t xml:space="preserve">42.099,49</w:t>
      </w:r>
      <w:r>
        <w:rPr>
          <w:rFonts w:ascii="Times New Roman" w:hAnsi="Times New Roman" w:cs="Times New Roman"/>
          <w:sz w:val="24"/>
          <w:szCs w:val="24"/>
        </w:rPr>
        <w:t xml:space="preserve"> eura u odnosu na izvorni plan za 2026. godinu.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106"/>
        <w:gridCol w:w="2478"/>
        <w:gridCol w:w="2478"/>
      </w:tblGrid>
      <w:tr>
        <w:trPr/>
        <w:tc>
          <w:tcPr>
            <w:tcW w:type="dxa" w:w="4106"/>
            <w:tcBorders/>
            <w:shd w:fill="D9D9D9" w:color="auto" w:val="clear"/>
            <w:vAlign w:val="center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Rashodi/ izdaci</w:t>
            </w:r>
          </w:p>
        </w:tc>
        <w:tc>
          <w:tcPr>
            <w:tcW w:type="dxa" w:w="2478"/>
            <w:tcBorders/>
            <w:shd w:fill="D9D9D9" w:color="auto" w:val="clear"/>
            <w:vAlign w:val="center"/>
          </w:tcPr>
          <w:p>
            <w:pPr>
              <w: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 za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godinu</w:t>
            </w:r>
          </w:p>
        </w:tc>
        <w:tc>
          <w:tcPr>
            <w:tcW w:type="dxa" w:w="2478"/>
            <w:tcBorders/>
            <w:shd w:fill="D9D9D9" w:color="auto" w:val="clear"/>
            <w:vAlign w:val="center"/>
          </w:tcPr>
          <w:p>
            <w:pPr>
              <w: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Prijedlog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novog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plana za 2026. godinu</w:t>
            </w:r>
          </w:p>
        </w:tc>
      </w:tr>
      <w:tr>
        <w:trPr/>
        <w:tc>
          <w:tcPr>
            <w:tcW w:type="dxa" w:w="4106"/>
            <w:tcBorders/>
            <w:vAlign w:val="bottom"/>
          </w:tcPr>
          <w:p>
            <w:pPr>
              <w: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Rashodi ukupno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2.544.178,97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2.586.278,46</w:t>
            </w:r>
          </w:p>
        </w:tc>
      </w:tr>
      <w:tr>
        <w:trPr/>
        <w:tc>
          <w:tcPr>
            <w:tcW w:type="dxa" w:w="4106"/>
            <w:tcBorders/>
          </w:tcPr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– Rashodi za zaposlene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2.280.000,00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2.280.000,00</w:t>
            </w:r>
          </w:p>
        </w:tc>
      </w:tr>
      <w:tr>
        <w:trPr/>
        <w:tc>
          <w:tcPr>
            <w:tcW w:type="dxa" w:w="4106"/>
            <w:tcBorders/>
          </w:tcPr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– Materijalni rashodi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251.678,97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278.978,46</w:t>
            </w:r>
          </w:p>
        </w:tc>
      </w:tr>
      <w:tr>
        <w:trPr/>
        <w:tc>
          <w:tcPr>
            <w:tcW w:type="dxa" w:w="4106"/>
            <w:tcBorders/>
          </w:tcPr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– Rashodi za nabavu proizvedene dugotrajne imovine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12.500,00</w:t>
            </w:r>
          </w:p>
        </w:tc>
        <w:tc>
          <w:tcPr>
            <w:tcW w:type="dxa" w:w="2478"/>
            <w:tcBorders/>
            <w:vAlign w:val="bottom"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27.300,00</w:t>
            </w: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Najveće povećanje</w:t>
      </w:r>
      <w:r>
        <w:rPr>
          <w:rFonts w:ascii="Times New Roman" w:hAnsi="Times New Roman" w:cs="Times New Roman"/>
          <w:sz w:val="24"/>
          <w:szCs w:val="24"/>
        </w:rPr>
        <w:t xml:space="preserve"> je na rashodima</w:t>
      </w:r>
      <w:r>
        <w:rPr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nabavu proizvedene dugotrajne imovine odnose se na rashode za nabavu </w:t>
      </w:r>
      <w:r>
        <w:rPr>
          <w:rFonts w:ascii="Times New Roman" w:hAnsi="Times New Roman" w:cs="Times New Roman"/>
          <w:sz w:val="24"/>
          <w:szCs w:val="24"/>
        </w:rPr>
        <w:t xml:space="preserve">računalne i uredske opreme te</w:t>
      </w:r>
      <w:r>
        <w:rPr>
          <w:rFonts w:ascii="Times New Roman" w:hAnsi="Times New Roman" w:cs="Times New Roman"/>
          <w:sz w:val="24"/>
          <w:szCs w:val="24"/>
        </w:rPr>
        <w:t xml:space="preserve"> namještaja</w:t>
      </w:r>
      <w:r>
        <w:rPr>
          <w:rFonts w:ascii="Times New Roman" w:hAnsi="Times New Roman" w:cs="Times New Roman"/>
          <w:sz w:val="24"/>
          <w:szCs w:val="24"/>
        </w:rPr>
        <w:t xml:space="preserve"> jer je škola nabavila više opreme nego što je planirano izvornim planom.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PRENESENI VIŠAK</w:t>
      </w:r>
    </w:p>
    <w:p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Tijekom izrade</w:t>
      </w:r>
      <w:r>
        <w:rPr>
          <w:rFonts w:ascii="Times New Roman" w:hAnsi="Times New Roman" w:cs="Times New Roman"/>
          <w:sz w:val="24"/>
          <w:szCs w:val="24"/>
        </w:rPr>
        <w:t xml:space="preserve"> i donošenja F</w:t>
      </w:r>
      <w:r>
        <w:rPr>
          <w:rFonts w:ascii="Times New Roman" w:hAnsi="Times New Roman" w:cs="Times New Roman"/>
          <w:sz w:val="24"/>
          <w:szCs w:val="24"/>
        </w:rPr>
        <w:t xml:space="preserve">inancijskog plana za 2026. godinu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planirano je da će se prenijeti višak sredstava u iznosu od 25.000,00 eura, ali stvarni višak sredstava iznosi 55.912,75 eura te je on raspoređen u cijelosti u Rebalansu 1 za 2026. godinu.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POSEBNI DIO FINANCIJSKOG PLANA</w:t>
      </w:r>
    </w:p>
    <w:p>
      <w:pPr>
        <w:pStyle w:val="Odlomakpopisa"/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Posebni dio financijskog</w:t>
      </w:r>
      <w:r>
        <w:rPr>
          <w:rFonts w:ascii="Times New Roman" w:hAnsi="Times New Roman" w:cs="Times New Roman"/>
          <w:sz w:val="24"/>
          <w:szCs w:val="24"/>
        </w:rPr>
        <w:t xml:space="preserve"> plana sastoji se od plana rashoda iskazanih po izvorima financiranja i ekonomskoj klasifikaciji raspoređenih u programe koji se sastoje od aktivnosti i projekata.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IZVORI FINANCIRANJA</w:t>
      </w: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se financira sredstvima</w:t>
      </w:r>
      <w:r>
        <w:rPr>
          <w:rFonts w:ascii="Times New Roman" w:hAnsi="Times New Roman" w:cs="Times New Roman"/>
          <w:b/>
          <w:sz w:val="24"/>
          <w:szCs w:val="24"/>
        </w:rPr>
        <w:t xml:space="preserve"> Ministarstva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znanosti, obrazovanja i mladih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(plaće i doprinosi na plaće, materijalna prava radnika iz Kolektivnog ugovora, naknada za nezapošljavanje osoba s invaliditetom), decentraliziranim sredstvima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Zadarske županije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(materijalni izdaci), kao i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vlastitim sredstvima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te sredstvima dobivenima putem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EU projekata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>
      <w:p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/>
        <w:ind w:right="-14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 školi se provode 3 programa koji se financiraju iz različitih izvora financiranja:</w:t>
      </w:r>
    </w:p>
    <w:p>
      <w:pPr>
        <w:spacing w:after="0"/>
        <w:ind w:right="-142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2204 – Srednje školstvo-standard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46"/>
        <w:gridCol w:w="1480"/>
        <w:gridCol w:w="1637"/>
        <w:gridCol w:w="1182"/>
        <w:gridCol w:w="1638"/>
        <w:gridCol w:w="1679"/>
      </w:tblGrid>
      <w:tr>
        <w:trPr/>
        <w:tc>
          <w:tcPr>
            <w:tcW w:type="dxa" w:w="1446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Razdjel</w:t>
            </w:r>
          </w:p>
        </w:tc>
        <w:tc>
          <w:tcPr>
            <w:tcW w:type="dxa" w:w="1480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</w:t>
            </w:r>
          </w:p>
        </w:tc>
        <w:tc>
          <w:tcPr>
            <w:tcW w:type="dxa" w:w="1637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 2026.</w:t>
            </w:r>
          </w:p>
        </w:tc>
        <w:tc>
          <w:tcPr>
            <w:tcW w:type="dxa" w:w="1182"/>
            <w:tcBorders/>
            <w:shd w:fill="D9D9D9" w:color="auto" w:val="clea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type="dxa" w:w="1638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Rebalans 1 2026.</w:t>
            </w:r>
          </w:p>
        </w:tc>
        <w:tc>
          <w:tcPr>
            <w:tcW w:type="dxa" w:w="1679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Indeks Rebalans/Plan</w:t>
            </w:r>
          </w:p>
        </w:tc>
      </w:tr>
      <w:tr>
        <w:trPr/>
        <w:tc>
          <w:tcPr>
            <w:tcW w:type="dxa" w:w="1446"/>
            <w:tcBorders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030</w:t>
            </w:r>
          </w:p>
        </w:tc>
        <w:tc>
          <w:tcPr>
            <w:tcW w:type="dxa" w:w="1480"/>
            <w:tcBorders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2204</w:t>
            </w:r>
          </w:p>
        </w:tc>
        <w:tc>
          <w:tcPr>
            <w:tcW w:type="dxa" w:w="1637"/>
            <w:tcBorders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2.476.178,97</w:t>
            </w:r>
          </w:p>
        </w:tc>
        <w:tc>
          <w:tcPr>
            <w:tcW w:type="dxa" w:w="1182"/>
            <w:tcBorders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type="dxa" w:w="1638"/>
            <w:tcBorders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2.473.365,71</w:t>
            </w:r>
          </w:p>
        </w:tc>
        <w:tc>
          <w:tcPr>
            <w:tcW w:type="dxa" w:w="1679"/>
            <w:tcBorders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99,87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 ciljevi programa: Redovito podmirivanje svih troškova za što kvalitetnije i uspješnije odvijanje nastavnog procesa. </w:t>
      </w:r>
      <w:r>
        <w:rPr>
          <w:rFonts w:ascii="Times New Roman" w:hAnsi="Times New Roman" w:cs="Times New Roman"/>
          <w:sz w:val="24"/>
          <w:szCs w:val="24"/>
        </w:rPr>
        <w:t xml:space="preserve">Program „2204 - Srednje školstvo-standard“ namijenjen je financiranju temeljnih potreba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poslovanje škole. Iz sredstava navedenog programa pokrivaju se materijalni rashodi škole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financiraju plaće djelatnika.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Posebni ciljevi: Uspješno </w:t>
      </w:r>
      <w:r>
        <w:rPr>
          <w:rFonts w:ascii="Times New Roman" w:hAnsi="Times New Roman" w:cs="Times New Roman"/>
          <w:sz w:val="24"/>
          <w:szCs w:val="24"/>
        </w:rPr>
        <w:t xml:space="preserve">i</w:t>
      </w:r>
      <w:r>
        <w:rPr>
          <w:rFonts w:ascii="Times New Roman" w:hAnsi="Times New Roman" w:cs="Times New Roman"/>
          <w:sz w:val="24"/>
          <w:szCs w:val="24"/>
        </w:rPr>
        <w:t xml:space="preserve"> kvalitetno odvijanje nastave uz zadovoljenje svih potrebnih zahtjeva učenika i djelatnika.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Pokazat uspješnosti: Zadovoljstvo učenika u nastavnika planom i programom.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2204 provodi se kroz sljedeće aktivnosti: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Aktivnost A2204-01 – Djelatnost srednjih škola</w:t>
      </w:r>
    </w:p>
    <w:p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Aktivnost A2204-07 – Administracija i upravljanje</w:t>
      </w:r>
    </w:p>
    <w:p>
      <w:pPr>
        <w:pStyle w:val="Odlomakpopis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2"/>
          <w:numId w:val="5"/>
        </w:numPr>
        <w:spacing w:after="0"/>
        <w:ind w:right="-142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Djelatnost srednjih škola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/>
        <w:tc>
          <w:tcPr>
            <w:tcW w:type="dxa" w:w="1812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Razdjel</w:t>
            </w:r>
          </w:p>
        </w:tc>
        <w:tc>
          <w:tcPr>
            <w:tcW w:type="dxa" w:w="1812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Aktivnost</w:t>
            </w:r>
          </w:p>
        </w:tc>
        <w:tc>
          <w:tcPr>
            <w:tcW w:type="dxa" w:w="1812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 2026.</w:t>
            </w:r>
          </w:p>
        </w:tc>
        <w:tc>
          <w:tcPr>
            <w:tcW w:type="dxa" w:w="1813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Rebalans 1 2026.</w:t>
            </w:r>
          </w:p>
        </w:tc>
        <w:tc>
          <w:tcPr>
            <w:tcW w:type="dxa" w:w="1813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Indeks Rebalans/Plan</w:t>
            </w:r>
          </w:p>
        </w:tc>
      </w:tr>
      <w:tr>
        <w:trPr/>
        <w:tc>
          <w:tcPr>
            <w:tcW w:type="dxa" w:w="1812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030</w:t>
            </w:r>
          </w:p>
        </w:tc>
        <w:tc>
          <w:tcPr>
            <w:tcW w:type="dxa" w:w="1812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2204-01</w:t>
            </w:r>
          </w:p>
        </w:tc>
        <w:tc>
          <w:tcPr>
            <w:tcW w:type="dxa" w:w="1812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193.978,97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190.845,71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98,38</w:t>
            </w:r>
          </w:p>
        </w:tc>
      </w:tr>
    </w:tbl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Aktivnost i sredstva namijenjena su financiranju materijalnih rashoda škole, a koji se sastoje od troška prijevoza zaposlenika s posla i na posao, službena putovanja i usavršavanje zaposlenika, za podmirivanje troška uredskog materijala te materijala za čišćenje i higijenu, komunalne usluge, grijanje, usluge održavanja računala, usluge i materijal za redovno i investicijsko održavanje zgrade i prostorija, osiguranje, članarine i ostali rashodi i izdaci povezani s redovnim radom škole.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i izdaci zasn</w:t>
      </w:r>
      <w:r>
        <w:rPr>
          <w:rFonts w:ascii="Times New Roman" w:hAnsi="Times New Roman" w:cs="Times New Roman"/>
          <w:sz w:val="24"/>
          <w:szCs w:val="24"/>
        </w:rPr>
        <w:t xml:space="preserve">ivaju se na stanju tekuće 2026</w:t>
      </w:r>
      <w:r>
        <w:rPr>
          <w:rFonts w:ascii="Times New Roman" w:hAnsi="Times New Roman" w:cs="Times New Roman"/>
          <w:sz w:val="24"/>
          <w:szCs w:val="24"/>
        </w:rPr>
        <w:t xml:space="preserve">. godine te su uspoređeni s prethodnim godinama, no kako za ovu aktivnost škola dobije limit koji ne smije prekoračiti sredstva su raspoređena prema mogućnostima. </w:t>
      </w:r>
      <w:r>
        <w:rPr>
          <w:rFonts w:ascii="Times New Roman" w:hAnsi="Times New Roman" w:cs="Times New Roman"/>
          <w:sz w:val="24"/>
          <w:szCs w:val="24"/>
        </w:rPr>
        <w:t xml:space="preserve">Kako</w:t>
      </w:r>
      <w:r>
        <w:rPr>
          <w:rFonts w:ascii="Times New Roman" w:hAnsi="Times New Roman" w:cs="Times New Roman"/>
          <w:sz w:val="24"/>
          <w:szCs w:val="24"/>
        </w:rPr>
        <w:t xml:space="preserve"> je Rebalansom 1 limit za financiranje materijalnih rashoda </w:t>
      </w:r>
      <w:r>
        <w:rPr>
          <w:rFonts w:ascii="Times New Roman" w:hAnsi="Times New Roman" w:cs="Times New Roman"/>
          <w:sz w:val="24"/>
          <w:szCs w:val="24"/>
        </w:rPr>
        <w:t xml:space="preserve">smanjen</w:t>
      </w:r>
      <w:r>
        <w:rPr>
          <w:rFonts w:ascii="Times New Roman" w:hAnsi="Times New Roman" w:cs="Times New Roman"/>
          <w:sz w:val="24"/>
          <w:szCs w:val="24"/>
        </w:rPr>
        <w:t xml:space="preserve">, škola će pokušati što racionalnije trošiti odobrena sredstva te će štedjeti na svim stavkama plana.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Administracija i upravljanje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/>
        <w:tc>
          <w:tcPr>
            <w:tcW w:type="dxa" w:w="1812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Razdjel</w:t>
            </w:r>
          </w:p>
        </w:tc>
        <w:tc>
          <w:tcPr>
            <w:tcW w:type="dxa" w:w="1812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Aktivnost</w:t>
            </w:r>
          </w:p>
        </w:tc>
        <w:tc>
          <w:tcPr>
            <w:tcW w:type="dxa" w:w="1812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 2026.</w:t>
            </w:r>
          </w:p>
        </w:tc>
        <w:tc>
          <w:tcPr>
            <w:tcW w:type="dxa" w:w="1813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Rebalans 1 2026.</w:t>
            </w:r>
          </w:p>
        </w:tc>
        <w:tc>
          <w:tcPr>
            <w:tcW w:type="dxa" w:w="1813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Indeks Rebalans/Plan</w:t>
            </w:r>
          </w:p>
        </w:tc>
      </w:tr>
      <w:tr>
        <w:trPr/>
        <w:tc>
          <w:tcPr>
            <w:tcW w:type="dxa" w:w="1812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030</w:t>
            </w:r>
          </w:p>
        </w:tc>
        <w:tc>
          <w:tcPr>
            <w:tcW w:type="dxa" w:w="1812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2204-07</w:t>
            </w:r>
          </w:p>
        </w:tc>
        <w:tc>
          <w:tcPr>
            <w:tcW w:type="dxa" w:w="1812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2.282.200,001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2.282.520,00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100,01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aktivnosti Administracija i upravljanje planiraju se sredstva za rashode plaća zaposlenika škole, doprinosi iz plaće, rashodi za materijalna prava koja zaposlenici imaju prema Kolektivnom ugovoru te naknada za nezapošljavanje osoba s invaliditetom.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Rebalansom 1 </w:t>
      </w:r>
      <w:r>
        <w:rPr>
          <w:rFonts w:ascii="Times New Roman" w:hAnsi="Times New Roman" w:cs="Times New Roman"/>
          <w:sz w:val="24"/>
          <w:szCs w:val="24"/>
        </w:rPr>
        <w:t xml:space="preserve">blago je povećan iznos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odnosu na izvorni plan za 2026</w:t>
      </w:r>
      <w:r>
        <w:rPr>
          <w:rFonts w:ascii="Times New Roman" w:hAnsi="Times New Roman" w:cs="Times New Roman"/>
          <w:sz w:val="24"/>
          <w:szCs w:val="24"/>
        </w:rPr>
        <w:t xml:space="preserve">. godinu jer se procjenjuje kako</w:t>
      </w:r>
      <w:r>
        <w:rPr>
          <w:rFonts w:ascii="Times New Roman" w:hAnsi="Times New Roman" w:cs="Times New Roman"/>
          <w:sz w:val="24"/>
          <w:szCs w:val="24"/>
        </w:rPr>
        <w:t xml:space="preserve"> je potrebno više sredstava za izvršavanje obveza vezanih uz zaposlene.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1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2205 – srednje školstvo – iznad standarda</w:t>
      </w:r>
    </w:p>
    <w:p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 ciljevi programa: </w:t>
      </w:r>
      <w:r>
        <w:rPr>
          <w:rFonts w:ascii="Times New Roman" w:hAnsi="Times New Roman" w:cs="Times New Roman"/>
          <w:sz w:val="24"/>
          <w:szCs w:val="24"/>
        </w:rPr>
        <w:t xml:space="preserve">Program „2205 - Srednje školstvo – iznad standarda“ namijenjen je za podizanje kvalitete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standarda u školstvu. </w:t>
      </w:r>
      <w:r>
        <w:rPr>
          <w:rFonts w:ascii="Times New Roman" w:hAnsi="Times New Roman" w:cs="Times New Roman"/>
          <w:sz w:val="24"/>
          <w:szCs w:val="24"/>
        </w:rPr>
        <w:t xml:space="preserve">Poboljšanje uvjeta rada za učenike i zaposlenike, modernizacija prostora i opreme, podizanje standarda ulaganjem u razvoj i stručno osposobljavanje zaposlenih. Prijevoz djece s posebnim potrebama te opremanje knjižnice obveznom građom.</w:t>
      </w:r>
    </w:p>
    <w:p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Posebni ciljevi: </w:t>
      </w:r>
      <w:r>
        <w:rPr>
          <w:rFonts w:ascii="Times New Roman" w:hAnsi="Times New Roman" w:cs="Times New Roman"/>
          <w:sz w:val="24"/>
          <w:szCs w:val="24"/>
        </w:rPr>
        <w:t xml:space="preserve">Kroz navedeni program nastoji se podići nastavni standard na višu razinu, uključiti učenike u što više aktivnosti, motivirati i povećati sposobnosti učenika njihovim sudjelovanjem i radom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Pokazatelj uspješnosti: Broj učenika koji sudjeluju na raznim manifestacijama te natjecanjima.</w:t>
      </w:r>
    </w:p>
    <w:p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2205 provodi se kroz više aktivnosti, kao što su Javne potrebe u prosvjeti, Natjecanja i smotre, Projekt e-škole, Zalihe menstrualnih higijenskih potrepština i slično i za njih sredstva planiraju nadležni upravni odjel, a samo za sljedeću aktivnost prihode i rashode planira škola u svom financijskom planu: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Aktivnost A2205-12 – Podizanje kvalitete i standarda u školstvu</w:t>
      </w:r>
    </w:p>
    <w:p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Podizanje kvalitete i standarda u školstvu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/>
        <w:tc>
          <w:tcPr>
            <w:tcW w:type="dxa" w:w="1812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Razdjel</w:t>
            </w:r>
          </w:p>
        </w:tc>
        <w:tc>
          <w:tcPr>
            <w:tcW w:type="dxa" w:w="1812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Aktivnost</w:t>
            </w:r>
          </w:p>
        </w:tc>
        <w:tc>
          <w:tcPr>
            <w:tcW w:type="dxa" w:w="1812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 2026</w:t>
            </w:r>
            <w:r>
              <w:rPr>
                <w:rFonts w:ascii="Times New Roman" w:hAnsi="Times New Roman" w:cs="Times New Roman"/>
              </w:rPr>
              <w:t xml:space="preserve">.</w:t>
            </w:r>
          </w:p>
        </w:tc>
        <w:tc>
          <w:tcPr>
            <w:tcW w:type="dxa" w:w="1813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Rebalans 1 2026</w:t>
            </w:r>
            <w:r>
              <w:rPr>
                <w:rFonts w:ascii="Times New Roman" w:hAnsi="Times New Roman" w:cs="Times New Roman"/>
              </w:rPr>
              <w:t xml:space="preserve">.</w:t>
            </w:r>
          </w:p>
        </w:tc>
        <w:tc>
          <w:tcPr>
            <w:tcW w:type="dxa" w:w="1813"/>
            <w:tcBorders/>
            <w:shd w:fill="D9D9D9" w:color="auto" w:val="clear"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Indeks Rebalans/Plan</w:t>
            </w:r>
          </w:p>
        </w:tc>
      </w:tr>
      <w:tr>
        <w:trPr/>
        <w:tc>
          <w:tcPr>
            <w:tcW w:type="dxa" w:w="1812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030</w:t>
            </w:r>
          </w:p>
        </w:tc>
        <w:tc>
          <w:tcPr>
            <w:tcW w:type="dxa" w:w="1812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2205-12</w:t>
            </w:r>
          </w:p>
        </w:tc>
        <w:tc>
          <w:tcPr>
            <w:tcW w:type="dxa" w:w="1812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68.000,00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112.912,75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166,0</w:t>
            </w:r>
            <w:r>
              <w:rPr>
                <w:rFonts w:ascii="Times New Roman" w:hAnsi="Times New Roman" w:cs="Times New Roman"/>
                <w:b/>
              </w:rPr>
              <w:t xml:space="preserve">5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Kroz aktivnost A2205-12 škola ostvaruje prihode obavljanjem poslova na tržištu, a to su: namjenski prihodi (izdavanje duplikata svjedodžbi), vlastit prihodi: najam dvorane, najam prostora za tople napitke, pružanje usluga cateringa za različite prigode ili najam praktikuma za polaganje majstorskih ispita. Novčana sredstva uplaćuju se na jedinstveni račun Zadarske žu</w:t>
      </w:r>
      <w:r>
        <w:rPr>
          <w:rFonts w:ascii="Times New Roman" w:hAnsi="Times New Roman" w:cs="Times New Roman"/>
          <w:sz w:val="24"/>
          <w:szCs w:val="24"/>
        </w:rPr>
        <w:t xml:space="preserve">panije, što je definirano čl. 54.</w:t>
      </w:r>
      <w:r>
        <w:rPr>
          <w:rFonts w:ascii="Times New Roman" w:hAnsi="Times New Roman" w:cs="Times New Roman"/>
          <w:sz w:val="24"/>
          <w:szCs w:val="24"/>
        </w:rPr>
        <w:t xml:space="preserve"> Zakona o Proračunu (NN 144/21). Kroz sustav Županijske riznice osigurani su svi podaci na temelju kojih se prati ostvarivanje planiranih prihoda i rashoda.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 sredstva škole troše se zakonski i namjenski i koriste se za unaprjeđenje nastavno – obrazovnog procesa, administrativnih procesa te redovnog i izvanrednog održavanja prostora unutar i van škole.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planirana su sredstva iz Državnog proračuna, odnosno po</w:t>
      </w:r>
      <w:r>
        <w:rPr>
          <w:rFonts w:ascii="Times New Roman" w:hAnsi="Times New Roman" w:cs="Times New Roman"/>
          <w:sz w:val="24"/>
          <w:szCs w:val="24"/>
        </w:rPr>
        <w:t xml:space="preserve">moći iz Ministarstva znanosti, </w:t>
      </w:r>
      <w:r>
        <w:rPr>
          <w:rFonts w:ascii="Times New Roman" w:hAnsi="Times New Roman" w:cs="Times New Roman"/>
          <w:sz w:val="24"/>
          <w:szCs w:val="24"/>
        </w:rPr>
        <w:t xml:space="preserve">obrazovanja</w:t>
      </w:r>
      <w:r>
        <w:rPr>
          <w:rFonts w:ascii="Times New Roman" w:hAnsi="Times New Roman" w:cs="Times New Roman"/>
          <w:sz w:val="24"/>
          <w:szCs w:val="24"/>
        </w:rPr>
        <w:t xml:space="preserve"> i mladih</w:t>
      </w:r>
      <w:r>
        <w:rPr>
          <w:rFonts w:ascii="Times New Roman" w:hAnsi="Times New Roman" w:cs="Times New Roman"/>
          <w:sz w:val="24"/>
          <w:szCs w:val="24"/>
        </w:rPr>
        <w:t xml:space="preserve">, na temelju uplata iz prethodnih godina, a za primjerice besplatne udžbenike učenicima slabijeg socio-ekonomskog statusa, naknadu za prijevoz učenicima s posebnim potreba, novčana sredstva za opremanje knjižnica (lektire, stručna i nastavna literatura) i drugo.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rasta cijena usluga i dobara na tržištu, dio rashoda škola će financirati iz vlastitih i namjenskih prihoda.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4306 – Nacionalni EU projekti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„4306 – Nacionalni EU projekti“ namijenjena je financiranju projekta T4306-03 –Inkluzija – korak bliže društvu bez prepreka faza V., u kojem se osiguravanju sredstva za plaće pomoćnika u nastavi s ciljem pružanja potpore uključivanju učenika s teškoćama u razvoju u njima primjerene programe odgoja i obrazovanja u osnovnoškolskim i srednjoškolskim odgojno – obrazovnim ustanovama. Za navedeni projekt škola ne radi plan, jer je za njegovo planiranje zadužena vanjska Agencija.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Rebalansom 1 sredstva su se rasporedila kako bi se podigla kvaliteta nastave na što višu razinu i to kontinuiranim kvalitetnim usavršavanjem nastavnika, sudjelovanjem na seminarima i stručnim skupovima te podizanjem materijalnih i drugih uvjeta u školi, a sve u skladu s Planom i programom škole i njenim mogućnostima.</w:t>
      </w:r>
    </w:p>
    <w:p>
      <w:pPr>
        <w:spacing w:after="0"/>
        <w:ind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ind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Škola se kod učenika trudi razviti samoinicijativnost, marljivost, odgovornost, ali i njihovu poduzetnost kroz uključivanje u razne slobodne aktivnosti, sudjelovanje u manifestacijama, natjecanja, vježbeničke prakse, kao i druge školske projekte te ih osposobiti za rad ili nastavak školovanja prema zahtjevima tržišnog gospodarstva.</w:t>
      </w:r>
    </w:p>
    <w:p>
      <w:pPr>
        <w:spacing w:after="0"/>
        <w:ind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ind w:right="-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 nadalje će se odgovorno, zakonito, namjenski, transparentno i svrhovito koristiti proračunska sredstva, kroz pravilno planiranje i kontrolu izvršavanja financijskog plana, a zbog teškog stanja u gospodarstvu nastavit će se mjere racionalizacije i štednje.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colFirst="0" w:colLast="0" w:id="2" w:name="_heading=h.gjdgxs"/>
      <w:bookmarkStart w:id="3" w:name="_GoBack"/>
      <w:bookmarkEnd w:id="2"/>
      <w:bookmarkEnd w:id="3"/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 xml:space="preserve">v. d. 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avnatelj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ice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Sandra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Faričić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mag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oec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</w:t>
      </w:r>
    </w:p>
    <w:sectPr>
      <w:footerReference w:type="default" r:id="rId4"/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charset w:val="0"/>
    <w:family w:val="roman"/>
    <w:pitch w:val="variable"/>
    <w:sig w:usb0="A00002EF" w:usb1="4000004B" w:usb2="00000000" w:usb3="00000000" w:csb0="0000009F" w:csb1="00000000"/>
  </w:font>
  <w:font w:name="Calibri">
    <w:charset w:val="0"/>
    <w:family w:val="swiss"/>
    <w:pitch w:val="variable"/>
    <w:sig w:usb0="E00002FF" w:usb1="4000ACFF" w:usb2="00000001" w:usb3="00000000" w:csb0="0000019F" w:csb1="00000000"/>
  </w:font>
  <w:font w:name="Times New Roman">
    <w:charset w:val="0"/>
    <w:family w:val="roman"/>
    <w:pitch w:val="variable"/>
    <w:sig w:usb0="E0002AFF" w:usb1="C0007843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 Light">
    <w:charset w:val="0"/>
    <w:family w:val="swiss"/>
    <w:pitch w:val="variable"/>
    <w:sig w:usb0="A00002EF" w:usb1="4000207B" w:usb2="00000000" w:usb3="00000000" w:csb0="0000009F" w:csb1="00000000"/>
  </w:font>
  <w:font w:name="Arial">
    <w:charset w:val="0"/>
    <w:family w:val="swiss"/>
    <w:pitch w:val="variable"/>
    <w:sig w:usb0="E0002AFF" w:usb1="C0007843" w:usb2="00000009" w:usb3="00000000" w:csb0="000001FF" w:csb1="00000000"/>
  </w:font>
</w:fonts>
</file>

<file path=word/footer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odnoje"/>
      <w:spacing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2"/>
        <w:szCs w:val="2"/>
      </w:rPr>
      <w:t xml:space="preserve">ožica</w:t>
    </w:r>
    <w:r>
      <w:rPr>
        <w:rFonts w:ascii="Times New Roman" w:hAnsi="Times New Roman" w:cs="Times New Roman"/>
        <w:sz w:val="2"/>
        <w:szCs w:val="2"/>
      </w:rPr>
      <w:t xml:space="preserve"> </w:t>
    </w:r>
    <w:r>
      <w:rPr>
        <w:rFonts w:ascii="Times New Roman" w:hAnsi="Times New Roman" w:cs="Times New Roman"/>
        <w:sz w:val="2"/>
        <w:szCs w:val="2"/>
      </w:rPr>
      <w:t xml:space="preserve">Čirjak</w:t>
    </w:r>
  </w:p>
  <w:p>
    <w:pPr>
      <w:pStyle w:val="Podnoje"/>
      <w:spacing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25D1A"/>
    <w:lvl w:ilvl="0">
      <w:start w:val="6362"/>
      <w:numFmt w:val="bullet"/>
      <w:suff w:val="tab"/>
      <w:lvlText w:val="-"/>
      <w:pPr>
        <w:spacing/>
        <w:ind w:left="720" w:hanging="360"/>
      </w:pPr>
      <w:rPr>
        <w:rFonts w:ascii="Cambria" w:hAnsi="Cambria" w:eastAsiaTheme="minorHAnsi" w:cstheme="minorBidi" w:hint="default"/>
        <w:b w:val="0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114C4C46"/>
    <w:lvl w:ilvl="0">
      <w:start w:val="1"/>
      <w:numFmt w:val="decimal"/>
      <w:suff w:val="tab"/>
      <w:lvlText w:val="3.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40A52DB2"/>
    <w:lvl w:ilvl="0">
      <w:start w:val="6362"/>
      <w:numFmt w:val="bullet"/>
      <w:suff w:val="tab"/>
      <w:lvlText w:val="-"/>
      <w:pPr>
        <w:spacing/>
        <w:ind w:left="720" w:hanging="360"/>
      </w:pPr>
      <w:rPr>
        <w:rFonts w:ascii="Cambria" w:hAnsi="Cambria" w:eastAsiaTheme="minorHAnsi" w:cstheme="minorBidi" w:hint="default"/>
        <w:b w:val="0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3">
    <w:nsid w:val="57053204"/>
    <w:lvl w:ilvl="0">
      <w:start w:val="1"/>
      <w:numFmt w:val="decimal"/>
      <w:suff w:val="tab"/>
      <w:lvlText w:val="%1."/>
      <w:pPr>
        <w:spacing/>
        <w:ind w:left="360" w:hanging="360"/>
      </w:pPr>
      <w:rPr>
        <w:rFonts w:hint="default"/>
      </w:rPr>
    </w:lvl>
    <w:lvl w:ilvl="1">
      <w:start w:val="1"/>
      <w:numFmt w:val="decimal"/>
      <w:suff w:val="tab"/>
      <w:lvlText w:val="%1.%2."/>
      <w:pPr>
        <w:spacing/>
        <w:ind w:left="792" w:hanging="432"/>
      </w:pPr>
      <w:rPr>
        <w:rFonts w:hint="default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4">
    <w:nsid w:val="591D7603"/>
    <w:lvl w:ilvl="0">
      <w:start w:val="1"/>
      <w:numFmt w:val="decimal"/>
      <w:suff w:val="tab"/>
      <w:lvlText w:val="%1."/>
      <w:pPr>
        <w:spacing/>
        <w:ind w:left="360" w:hanging="360"/>
      </w:pPr>
      <w:rPr>
        <w:rFonts w:hint="default"/>
      </w:rPr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/>
    </w:pPr>
    <w:rPr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/>
      <w:sz w:val="26"/>
      <w:szCs w:val="26"/>
    </w:rPr>
  </w:style>
  <w:style w:type="paragraph" w:styleId="Naslov5">
    <w:name w:val="Heading 5"/>
    <w:basedOn w:val="Normal"/>
    <w:link w:val="Naslov5Char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eza">
    <w:name w:val="Hyperlink"/>
    <w:basedOn w:val="Zadanifontodlomka"/>
    <w:unhideWhenUsed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Naslov5Char" w:customStyle="1">
    <w:name w:val="Naslov 5 Char"/>
    <w:basedOn w:val="Zadanifontodlomka"/>
    <w:link w:val="Heading5"/>
    <w:uiPriority w:val="9"/>
    <w:rPr>
      <w:rFonts w:ascii="Times New Roman" w:hAnsi="Times New Roman" w:eastAsia="Times New Roman" w:cs="Times New Roman"/>
      <w:b/>
      <w:bCs/>
      <w:sz w:val="20"/>
      <w:szCs w:val="20"/>
      <w:lang w:eastAsia="hr-HR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Theme="majorHAnsi" w:hAnsiTheme="majorHAnsi" w:eastAsiaTheme="majorEastAsia" w:cstheme="majorBidi"/>
      <w:color w:val="2F5496"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/>
  </w:style>
  <w:style w:type="character" w:styleId="ZaglavljeChar" w:customStyle="1">
    <w:name w:val="Zaglavlje Char"/>
    <w:basedOn w:val="Zadanifontodlomka"/>
    <w:link w:val="Header"/>
    <w:uiPriority w:val="99"/>
    <w:rPr/>
  </w:style>
  <w:style w:type="paragraph" w:styleId="Podnoje">
    <w:name w:val="Footer"/>
    <w:basedOn w:val="Normal"/>
    <w:link w:val="Podnožje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/>
  </w:style>
  <w:style w:type="character" w:styleId="PodnojeChar" w:customStyle="1">
    <w:name w:val="Podnožje Char"/>
    <w:basedOn w:val="Zadanifontodlomka"/>
    <w:link w:val="Footer"/>
    <w:uiPriority w:val="99"/>
    <w:rPr/>
  </w:style>
</w:styles>
</file>

<file path=word/_rels/document.xml.rels>&#65279;<?xml version="1.0" encoding="utf-8" standalone="yes"?><Relationships xmlns="http://schemas.openxmlformats.org/package/2006/relationships"><Relationship Id="rId5" Type="http://schemas.openxmlformats.org/officeDocument/2006/relationships/styles" Target="styles.xml" /><Relationship Id="rId6" Type="http://schemas.openxmlformats.org/officeDocument/2006/relationships/settings" Target="settings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4" Type="http://schemas.openxmlformats.org/officeDocument/2006/relationships/footer" Target="footer4.xml" /><Relationship Id="rId9" Type="http://schemas.openxmlformats.org/officeDocument/2006/relationships/fontTable" Target="fontTable.xml" /><Relationship Id="rId1" Type="http://schemas.openxmlformats.org/officeDocument/2006/relationships/image" Target="media/image1.wmf" /><Relationship Id="rId3" Type="http://schemas.openxmlformats.org/officeDocument/2006/relationships/image" Target="media/image2.png" /><Relationship Id="rId2" Type="http://schemas.openxmlformats.org/officeDocument/2006/relationships/oleObject" Target="embeddings/oleObject3.bin" /><Relationship Id="rId10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8EC94-4CD8-4825-AD9C-5ACAF2B8E18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4835</TotalTime>
  <Pages>5</Pages>
  <Words>1878</Words>
  <Characters>10707</Characters>
  <Application>Microsoft Office Word</Application>
  <DocSecurity>0</DocSecurity>
  <Lines>89</Lines>
  <Paragraphs>25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Racunovodja</dc:creator>
  <cp:keywords/>
  <dc:description/>
  <cp:lastModifiedBy>Racunovodja</cp:lastModifiedBy>
  <cp:revision>88</cp:revision>
  <dcterms:created xsi:type="dcterms:W3CDTF">2024-04-23T08:21:00Z</dcterms:created>
  <dcterms:modified xsi:type="dcterms:W3CDTF">2026-09-08T10:54:00Z</dcterms:modified>
</cp:coreProperties>
</file>